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F239" w14:textId="77777777"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14:paraId="199B4E8C" w14:textId="77777777"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14:paraId="76212287"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14:paraId="703694CB"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14:paraId="78F72468" w14:textId="77777777" w:rsidR="00D518A3" w:rsidRPr="009268C9" w:rsidRDefault="00D518A3" w:rsidP="00D518A3">
      <w:pPr>
        <w:jc w:val="left"/>
        <w:rPr>
          <w:rFonts w:eastAsia="Times New Roman" w:cs="Arial"/>
          <w:szCs w:val="22"/>
          <w:lang w:eastAsia="hr-HR"/>
        </w:rPr>
      </w:pPr>
    </w:p>
    <w:p w14:paraId="3C3CA2F1" w14:textId="77777777" w:rsidR="00D518A3" w:rsidRPr="009268C9" w:rsidRDefault="00D518A3" w:rsidP="00D518A3">
      <w:pPr>
        <w:jc w:val="center"/>
        <w:rPr>
          <w:rFonts w:eastAsia="Times New Roman" w:cs="Arial"/>
          <w:szCs w:val="22"/>
          <w:lang w:eastAsia="hr-HR"/>
        </w:rPr>
      </w:pPr>
    </w:p>
    <w:p w14:paraId="7D43C672" w14:textId="77777777" w:rsidR="00D518A3" w:rsidRPr="009268C9" w:rsidRDefault="00D518A3" w:rsidP="00D518A3">
      <w:pPr>
        <w:ind w:firstLine="708"/>
      </w:pPr>
      <w:r w:rsidRPr="009268C9">
        <w:t>Poštovani,</w:t>
      </w:r>
    </w:p>
    <w:p w14:paraId="2C210DE2" w14:textId="77777777" w:rsidR="00D518A3" w:rsidRPr="009268C9" w:rsidRDefault="00D518A3" w:rsidP="00D518A3">
      <w:pPr>
        <w:ind w:firstLine="720"/>
      </w:pPr>
    </w:p>
    <w:p w14:paraId="0B1E645B" w14:textId="70772156"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07180F">
        <w:rPr>
          <w:lang w:val="pl-PL"/>
        </w:rPr>
        <w:t>1</w:t>
      </w:r>
      <w:r w:rsidR="005B3984">
        <w:rPr>
          <w:lang w:val="pl-PL"/>
        </w:rPr>
        <w:t>6</w:t>
      </w:r>
      <w:r w:rsidR="00FD51EF">
        <w:rPr>
          <w:lang w:val="pl-PL"/>
        </w:rPr>
        <w:t>. s</w:t>
      </w:r>
      <w:r w:rsidR="00736A90">
        <w:rPr>
          <w:lang w:val="pl-PL"/>
        </w:rPr>
        <w:t>iječnja</w:t>
      </w:r>
      <w:r w:rsidR="000461C4">
        <w:rPr>
          <w:lang w:val="pl-PL"/>
        </w:rPr>
        <w:t xml:space="preserve"> 202</w:t>
      </w:r>
      <w:r w:rsidR="0007180F">
        <w:rPr>
          <w:lang w:val="pl-PL"/>
        </w:rPr>
        <w:t>6</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14:paraId="27FCB4F3" w14:textId="77777777" w:rsidR="00D518A3" w:rsidRPr="009268C9" w:rsidRDefault="00D518A3" w:rsidP="00D518A3">
      <w:pPr>
        <w:ind w:left="1080" w:hanging="229"/>
        <w:contextualSpacing/>
        <w:rPr>
          <w:b/>
          <w:lang w:val="pl-PL"/>
        </w:rPr>
      </w:pPr>
    </w:p>
    <w:p w14:paraId="24B6A978" w14:textId="77777777"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14:paraId="0E90163F" w14:textId="77777777" w:rsidR="00D518A3" w:rsidRPr="009268C9" w:rsidRDefault="00D518A3" w:rsidP="00D518A3">
      <w:pPr>
        <w:ind w:firstLine="284"/>
        <w:rPr>
          <w:b/>
          <w:lang w:val="pl-PL"/>
        </w:rPr>
      </w:pPr>
    </w:p>
    <w:p w14:paraId="48B22476" w14:textId="77777777"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14:paraId="752D97D5" w14:textId="77777777"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14:paraId="7126C5D4" w14:textId="77777777"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w:t>
      </w:r>
      <w:proofErr w:type="spellStart"/>
      <w:r w:rsidRPr="003E6791">
        <w:rPr>
          <w:rFonts w:cs="Arial"/>
          <w:color w:val="595959" w:themeColor="text1" w:themeTint="A6"/>
          <w:szCs w:val="22"/>
        </w:rPr>
        <w:t>Certiliae</w:t>
      </w:r>
      <w:proofErr w:type="spellEnd"/>
      <w:r w:rsidRPr="003E6791">
        <w:rPr>
          <w:rFonts w:cs="Arial"/>
          <w:color w:val="595959" w:themeColor="text1" w:themeTint="A6"/>
          <w:szCs w:val="22"/>
        </w:rPr>
        <w:t xml:space="preserv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14:paraId="7780552A" w14:textId="77777777"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te se ne nalazi na popisu potencijalnih doktora </w:t>
      </w:r>
      <w:r>
        <w:rPr>
          <w:rFonts w:cs="Arial"/>
          <w:color w:val="595959" w:themeColor="text1" w:themeTint="A6"/>
          <w:szCs w:val="22"/>
        </w:rPr>
        <w:t>Zavoda</w:t>
      </w:r>
      <w:r w:rsidRPr="00103A5E">
        <w:rPr>
          <w:rFonts w:cs="Arial"/>
          <w:color w:val="595959" w:themeColor="text1" w:themeTint="A6"/>
          <w:szCs w:val="22"/>
        </w:rPr>
        <w:t xml:space="preserve">, zahtjev za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14:paraId="115035E7" w14:textId="77777777" w:rsidR="00A53C64" w:rsidRDefault="00A53C64" w:rsidP="005B7E05">
      <w:pPr>
        <w:ind w:firstLine="708"/>
        <w:rPr>
          <w:rFonts w:cs="Arial"/>
          <w:color w:val="595959" w:themeColor="text1" w:themeTint="A6"/>
          <w:szCs w:val="22"/>
        </w:rPr>
      </w:pPr>
    </w:p>
    <w:p w14:paraId="4D30AC52" w14:textId="77777777"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 xml:space="preserve">Upute za popunjavanje </w:t>
      </w:r>
      <w:proofErr w:type="spellStart"/>
      <w:r w:rsidRPr="00995A8F">
        <w:rPr>
          <w:rFonts w:cs="Arial"/>
          <w:b/>
          <w:color w:val="595959" w:themeColor="text1" w:themeTint="A6"/>
          <w:szCs w:val="22"/>
        </w:rPr>
        <w:t>ePonude</w:t>
      </w:r>
      <w:proofErr w:type="spellEnd"/>
      <w:r w:rsidRPr="00995A8F">
        <w:rPr>
          <w:rFonts w:cs="Arial"/>
          <w:b/>
          <w:color w:val="595959" w:themeColor="text1" w:themeTint="A6"/>
          <w:szCs w:val="22"/>
        </w:rPr>
        <w:t xml:space="preserv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14:paraId="5F4F919D" w14:textId="77777777" w:rsidR="00995A8F" w:rsidRDefault="00995A8F" w:rsidP="003E6791">
      <w:pPr>
        <w:ind w:firstLine="708"/>
        <w:rPr>
          <w:b/>
          <w:lang w:val="pl-PL"/>
        </w:rPr>
      </w:pPr>
    </w:p>
    <w:p w14:paraId="0A922D59" w14:textId="77777777"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14:paraId="24E265BB" w14:textId="77777777" w:rsidR="003E6791" w:rsidRDefault="003E6791" w:rsidP="00D518A3">
      <w:pPr>
        <w:ind w:firstLine="709"/>
        <w:rPr>
          <w:rFonts w:eastAsia="Times New Roman" w:cs="Arial"/>
          <w:szCs w:val="22"/>
          <w:lang w:eastAsia="hr-HR"/>
        </w:rPr>
      </w:pPr>
    </w:p>
    <w:p w14:paraId="1C658BD4" w14:textId="77777777"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14:paraId="7EB21622" w14:textId="77777777" w:rsidR="00D518A3" w:rsidRPr="009268C9" w:rsidRDefault="00D518A3" w:rsidP="00D518A3">
      <w:pPr>
        <w:ind w:firstLine="709"/>
        <w:rPr>
          <w:rFonts w:eastAsia="Times New Roman" w:cs="Arial"/>
          <w:szCs w:val="22"/>
          <w:lang w:eastAsia="hr-HR"/>
        </w:rPr>
      </w:pPr>
    </w:p>
    <w:p w14:paraId="1108198E" w14:textId="77777777"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14:paraId="7EC91228" w14:textId="77777777" w:rsidR="00D518A3" w:rsidRPr="009268C9" w:rsidRDefault="00D518A3" w:rsidP="006B2C2B">
      <w:pPr>
        <w:ind w:left="720"/>
        <w:rPr>
          <w:rFonts w:cs="Arial"/>
          <w:szCs w:val="22"/>
        </w:rPr>
      </w:pPr>
    </w:p>
    <w:p w14:paraId="02CA83DE" w14:textId="77777777"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14:paraId="2E318E87" w14:textId="77777777"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14:paraId="3E359156" w14:textId="77777777" w:rsidR="00D518A3" w:rsidRPr="009268C9" w:rsidRDefault="00D518A3" w:rsidP="00D518A3">
      <w:pPr>
        <w:ind w:left="708"/>
        <w:jc w:val="left"/>
        <w:rPr>
          <w:rFonts w:eastAsia="Times New Roman" w:cs="Arial"/>
          <w:szCs w:val="22"/>
          <w:lang w:eastAsia="hr-HR"/>
        </w:rPr>
      </w:pPr>
    </w:p>
    <w:p w14:paraId="281554E1" w14:textId="16F77F4B"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hyperlink r:id="rId9" w:history="1">
        <w:r w:rsidRPr="00807030">
          <w:rPr>
            <w:rStyle w:val="Hiperveza"/>
            <w:rFonts w:eastAsia="Times New Roman" w:cs="Arial"/>
            <w:i/>
            <w:szCs w:val="22"/>
            <w:lang w:eastAsia="hr-HR"/>
          </w:rPr>
          <w:t>ovdje</w:t>
        </w:r>
      </w:hyperlink>
      <w:r w:rsidRPr="00D518A3">
        <w:rPr>
          <w:rFonts w:eastAsia="Times New Roman" w:cs="Arial"/>
          <w:i/>
          <w:color w:val="000000" w:themeColor="text1"/>
          <w:szCs w:val="22"/>
          <w:lang w:eastAsia="hr-HR"/>
        </w:rPr>
        <w:t>.</w:t>
      </w:r>
    </w:p>
    <w:p w14:paraId="5565FDE6" w14:textId="77777777" w:rsidR="00D518A3" w:rsidRPr="00D518A3" w:rsidRDefault="00D518A3" w:rsidP="00D518A3">
      <w:pPr>
        <w:rPr>
          <w:rFonts w:eastAsia="Times New Roman" w:cs="Arial"/>
          <w:i/>
          <w:color w:val="000000" w:themeColor="text1"/>
          <w:szCs w:val="22"/>
          <w:lang w:eastAsia="hr-HR"/>
        </w:rPr>
      </w:pPr>
    </w:p>
    <w:p w14:paraId="44CA494E"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14:paraId="1F6B0CA1" w14:textId="11804F06"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D0476A"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14:paraId="19509FED" w14:textId="77777777"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w:t>
      </w:r>
      <w:proofErr w:type="spellStart"/>
      <w:r w:rsidRPr="00D518A3">
        <w:rPr>
          <w:rFonts w:eastAsia="Times New Roman" w:cs="Arial"/>
          <w:color w:val="FF0000"/>
          <w:szCs w:val="22"/>
        </w:rPr>
        <w:t>peer</w:t>
      </w:r>
      <w:proofErr w:type="spellEnd"/>
      <w:r w:rsidRPr="00D518A3">
        <w:rPr>
          <w:rFonts w:eastAsia="Times New Roman" w:cs="Arial"/>
          <w:color w:val="FF0000"/>
          <w:szCs w:val="22"/>
        </w:rPr>
        <w:t xml:space="preserve"> grupi.doc</w:t>
      </w:r>
    </w:p>
    <w:p w14:paraId="45140896" w14:textId="77777777" w:rsidR="00D518A3" w:rsidRPr="00D518A3" w:rsidRDefault="00D518A3" w:rsidP="00D518A3">
      <w:pPr>
        <w:ind w:left="720"/>
        <w:rPr>
          <w:rFonts w:eastAsia="Times New Roman" w:cs="Arial"/>
          <w:color w:val="000000" w:themeColor="text1"/>
          <w:sz w:val="16"/>
          <w:szCs w:val="16"/>
          <w:lang w:eastAsia="hr-HR"/>
        </w:rPr>
      </w:pPr>
    </w:p>
    <w:p w14:paraId="2C9A32E4" w14:textId="77777777" w:rsidR="00D518A3" w:rsidRPr="00D518A3" w:rsidRDefault="00D518A3" w:rsidP="00D518A3">
      <w:pPr>
        <w:ind w:left="720"/>
        <w:rPr>
          <w:rFonts w:eastAsia="Times New Roman" w:cs="Arial"/>
          <w:color w:val="000000" w:themeColor="text1"/>
          <w:szCs w:val="22"/>
          <w:lang w:eastAsia="hr-HR"/>
        </w:rPr>
      </w:pPr>
    </w:p>
    <w:p w14:paraId="329F2AD9"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14:paraId="1F3B8E64" w14:textId="5C733F7D"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00F2145C">
        <w:rPr>
          <w:rFonts w:eastAsia="Times New Roman" w:cs="Arial"/>
          <w:color w:val="FF0000"/>
          <w:szCs w:val="22"/>
          <w:lang w:eastAsia="hr-HR"/>
        </w:rPr>
        <w:t>.</w:t>
      </w:r>
      <w:r w:rsidRPr="00D518A3">
        <w:rPr>
          <w:rFonts w:eastAsia="Times New Roman" w:cs="Arial"/>
          <w:color w:val="FF0000"/>
          <w:szCs w:val="22"/>
          <w:lang w:eastAsia="hr-HR"/>
        </w:rPr>
        <w:t>doc</w:t>
      </w:r>
    </w:p>
    <w:p w14:paraId="4AD257B6" w14:textId="77777777"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14:paraId="027BC29A" w14:textId="77777777"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w:t>
      </w:r>
      <w:proofErr w:type="spellStart"/>
      <w:r w:rsidRPr="00D518A3">
        <w:rPr>
          <w:rFonts w:eastAsia="Times New Roman" w:cs="Arial"/>
          <w:color w:val="FF0000"/>
          <w:szCs w:val="22"/>
          <w:lang w:eastAsia="hr-HR"/>
        </w:rPr>
        <w:t>peer</w:t>
      </w:r>
      <w:proofErr w:type="spellEnd"/>
      <w:r w:rsidRPr="00D518A3">
        <w:rPr>
          <w:rFonts w:eastAsia="Times New Roman" w:cs="Arial"/>
          <w:color w:val="FF0000"/>
          <w:szCs w:val="22"/>
          <w:lang w:eastAsia="hr-HR"/>
        </w:rPr>
        <w:t xml:space="preserve"> grupi.doc</w:t>
      </w:r>
    </w:p>
    <w:p w14:paraId="60E54D7C" w14:textId="77777777" w:rsidR="00D518A3" w:rsidRPr="00D518A3" w:rsidRDefault="00D518A3" w:rsidP="00D518A3">
      <w:pPr>
        <w:ind w:left="720"/>
        <w:rPr>
          <w:rFonts w:eastAsia="Times New Roman" w:cs="Arial"/>
          <w:color w:val="FF0000"/>
          <w:szCs w:val="22"/>
          <w:lang w:eastAsia="hr-HR"/>
        </w:rPr>
      </w:pPr>
    </w:p>
    <w:p w14:paraId="57DA6916"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14:paraId="70FE5611" w14:textId="52767A62"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38CBA6" w14:textId="77777777"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14:paraId="65E99AB6"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4DE1182D" w14:textId="77777777" w:rsidR="00D518A3" w:rsidRPr="00D518A3" w:rsidRDefault="00D518A3" w:rsidP="00D518A3">
      <w:pPr>
        <w:ind w:left="720"/>
        <w:rPr>
          <w:rFonts w:eastAsia="Times New Roman" w:cs="Arial"/>
          <w:color w:val="FF0000"/>
          <w:szCs w:val="22"/>
          <w:lang w:eastAsia="hr-HR"/>
        </w:rPr>
      </w:pPr>
    </w:p>
    <w:p w14:paraId="4F694AF1" w14:textId="77777777" w:rsidR="00D518A3" w:rsidRPr="00D518A3" w:rsidRDefault="00D518A3" w:rsidP="00D518A3">
      <w:pPr>
        <w:ind w:left="720"/>
        <w:rPr>
          <w:rFonts w:eastAsia="Times New Roman" w:cs="Arial"/>
          <w:color w:val="000000" w:themeColor="text1"/>
          <w:szCs w:val="22"/>
          <w:lang w:eastAsia="hr-HR"/>
        </w:rPr>
      </w:pPr>
    </w:p>
    <w:p w14:paraId="156CDC2A"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14:paraId="0C46FE38" w14:textId="465B9D6E"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07180F">
        <w:rPr>
          <w:rFonts w:eastAsia="Times New Roman" w:cs="Arial"/>
          <w:color w:val="FF0000"/>
          <w:szCs w:val="22"/>
        </w:rPr>
        <w:t>6</w:t>
      </w:r>
      <w:r w:rsidRPr="00D518A3">
        <w:rPr>
          <w:rFonts w:eastAsia="Times New Roman" w:cs="Arial"/>
          <w:color w:val="FF0000"/>
          <w:szCs w:val="22"/>
        </w:rPr>
        <w:t>.doc</w:t>
      </w:r>
    </w:p>
    <w:p w14:paraId="1A935E59"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14:paraId="2297320F"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1D6825FE" w14:textId="77777777" w:rsidR="00D518A3" w:rsidRPr="00D518A3" w:rsidRDefault="00D518A3" w:rsidP="00D518A3">
      <w:pPr>
        <w:ind w:left="720"/>
        <w:rPr>
          <w:rFonts w:eastAsia="Times New Roman" w:cs="Arial"/>
          <w:color w:val="000000" w:themeColor="text1"/>
          <w:szCs w:val="22"/>
          <w:lang w:eastAsia="hr-HR"/>
        </w:rPr>
      </w:pPr>
    </w:p>
    <w:p w14:paraId="3F86521F" w14:textId="77777777" w:rsidR="00D518A3" w:rsidRPr="009268C9" w:rsidRDefault="00D518A3" w:rsidP="00D518A3">
      <w:pPr>
        <w:ind w:left="720"/>
        <w:rPr>
          <w:rFonts w:eastAsia="Times New Roman" w:cs="Arial"/>
          <w:szCs w:val="22"/>
          <w:lang w:eastAsia="hr-HR"/>
        </w:rPr>
      </w:pPr>
    </w:p>
    <w:p w14:paraId="1F0948BA" w14:textId="77777777"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14:paraId="4237DCC4" w14:textId="77777777" w:rsidR="00D518A3" w:rsidRPr="009268C9" w:rsidRDefault="00D518A3" w:rsidP="00D518A3">
      <w:pPr>
        <w:ind w:left="1080"/>
        <w:jc w:val="left"/>
        <w:rPr>
          <w:rFonts w:eastAsia="Times New Roman" w:cs="Arial"/>
          <w:szCs w:val="22"/>
          <w:u w:val="single"/>
          <w:lang w:eastAsia="hr-HR"/>
        </w:rPr>
      </w:pPr>
    </w:p>
    <w:p w14:paraId="741D12D5"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14:paraId="1A686819" w14:textId="77777777" w:rsidR="00D518A3" w:rsidRPr="009268C9" w:rsidRDefault="00D518A3" w:rsidP="00D518A3">
      <w:pPr>
        <w:ind w:left="360"/>
        <w:rPr>
          <w:rFonts w:eastAsia="Times New Roman" w:cs="Arial"/>
          <w:szCs w:val="22"/>
          <w:u w:val="single"/>
          <w:lang w:eastAsia="hr-HR"/>
        </w:rPr>
      </w:pPr>
    </w:p>
    <w:p w14:paraId="326E3E28" w14:textId="77777777"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14:paraId="4A534B6A" w14:textId="77777777"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14:paraId="7880F4E6" w14:textId="77777777"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14:paraId="06402221" w14:textId="77777777"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14:paraId="656A0827" w14:textId="77777777" w:rsidR="009D3A7C" w:rsidRDefault="009D3A7C" w:rsidP="005D1DFD">
      <w:pPr>
        <w:autoSpaceDN w:val="0"/>
        <w:spacing w:after="160" w:line="259" w:lineRule="auto"/>
        <w:ind w:firstLine="708"/>
        <w:contextualSpacing/>
        <w:rPr>
          <w:rFonts w:eastAsia="Calibri" w:cs="Arial"/>
          <w:color w:val="404040"/>
          <w:szCs w:val="22"/>
        </w:rPr>
      </w:pPr>
    </w:p>
    <w:p w14:paraId="2FC7BAE7" w14:textId="77777777"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14:paraId="1C59F7A0" w14:textId="77777777" w:rsidR="00D518A3" w:rsidRPr="009268C9" w:rsidRDefault="00D518A3" w:rsidP="00D518A3">
      <w:pPr>
        <w:ind w:left="1080"/>
        <w:rPr>
          <w:rFonts w:eastAsia="Times New Roman" w:cs="Arial"/>
          <w:b/>
          <w:szCs w:val="22"/>
          <w:u w:val="single"/>
          <w:lang w:eastAsia="hr-HR"/>
        </w:rPr>
      </w:pPr>
    </w:p>
    <w:p w14:paraId="427D8872"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14:paraId="64E856A7" w14:textId="77777777" w:rsidR="00D518A3" w:rsidRPr="009268C9" w:rsidRDefault="00D518A3" w:rsidP="00D518A3">
      <w:pPr>
        <w:ind w:left="708"/>
        <w:rPr>
          <w:rFonts w:eastAsia="Times New Roman" w:cs="Arial"/>
          <w:szCs w:val="22"/>
          <w:lang w:eastAsia="hr-HR"/>
        </w:rPr>
      </w:pPr>
    </w:p>
    <w:p w14:paraId="40512B52" w14:textId="77777777"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w:t>
      </w:r>
      <w:proofErr w:type="spellStart"/>
      <w:r w:rsidRPr="009268C9">
        <w:rPr>
          <w:rFonts w:eastAsia="Times New Roman" w:cs="Arial"/>
          <w:szCs w:val="22"/>
          <w:lang w:eastAsia="hr-HR"/>
        </w:rPr>
        <w:t>holter</w:t>
      </w:r>
      <w:proofErr w:type="spellEnd"/>
      <w:r w:rsidRPr="009268C9">
        <w:rPr>
          <w:rFonts w:eastAsia="Times New Roman" w:cs="Arial"/>
          <w:szCs w:val="22"/>
          <w:lang w:eastAsia="hr-HR"/>
        </w:rPr>
        <w:t xml:space="preserve">, </w:t>
      </w:r>
      <w:proofErr w:type="spellStart"/>
      <w:r w:rsidRPr="009268C9">
        <w:rPr>
          <w:rFonts w:eastAsia="Times New Roman" w:cs="Arial"/>
          <w:szCs w:val="22"/>
          <w:lang w:eastAsia="hr-HR"/>
        </w:rPr>
        <w:t>dermatoskop</w:t>
      </w:r>
      <w:proofErr w:type="spellEnd"/>
      <w:r w:rsidRPr="009268C9">
        <w:rPr>
          <w:rFonts w:eastAsia="Times New Roman" w:cs="Arial"/>
          <w:szCs w:val="22"/>
          <w:lang w:eastAsia="hr-HR"/>
        </w:rPr>
        <w:t xml:space="preserve">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14:paraId="04F7BCCA" w14:textId="77777777" w:rsidR="00D518A3" w:rsidRDefault="00D518A3" w:rsidP="00D518A3">
      <w:pPr>
        <w:ind w:firstLine="708"/>
        <w:rPr>
          <w:rFonts w:eastAsia="Times New Roman" w:cs="Arial"/>
          <w:szCs w:val="22"/>
          <w:lang w:eastAsia="hr-HR"/>
        </w:rPr>
      </w:pPr>
    </w:p>
    <w:p w14:paraId="2F123640" w14:textId="77777777"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14:paraId="68B7F6CF" w14:textId="77777777" w:rsidR="00571AF2" w:rsidRDefault="00571AF2" w:rsidP="00571AF2">
      <w:pPr>
        <w:rPr>
          <w:rFonts w:cs="Arial"/>
        </w:rPr>
      </w:pPr>
      <w:proofErr w:type="spellStart"/>
      <w:r>
        <w:rPr>
          <w:rFonts w:cs="Arial"/>
        </w:rPr>
        <w:t>Peer</w:t>
      </w:r>
      <w:proofErr w:type="spellEnd"/>
      <w:r>
        <w:rPr>
          <w:rFonts w:cs="Arial"/>
        </w:rPr>
        <w:t xml:space="preserve">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14:paraId="748460ED" w14:textId="77777777" w:rsidR="00571AF2" w:rsidRDefault="00571AF2" w:rsidP="00571AF2">
      <w:pPr>
        <w:rPr>
          <w:rFonts w:cs="Arial"/>
          <w:lang w:eastAsia="hr-HR"/>
        </w:rPr>
      </w:pPr>
    </w:p>
    <w:p w14:paraId="15875C5C" w14:textId="77777777"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14:paraId="04EEFD6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14:paraId="5F7D2DC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14:paraId="60528D8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14:paraId="5A0B4FA6" w14:textId="77777777"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14:paraId="7EFB7F93"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115A164D" w14:textId="77777777"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14:paraId="48165107"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1B2F5735"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14:paraId="023141A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14:paraId="36B1773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14:paraId="513866DB"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 xml:space="preserve">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w:t>
      </w:r>
      <w:proofErr w:type="spellStart"/>
      <w:r w:rsidRPr="009268C9">
        <w:rPr>
          <w:rFonts w:eastAsia="Times New Roman" w:cs="Arial"/>
          <w:szCs w:val="22"/>
          <w:lang w:eastAsia="hr-HR"/>
        </w:rPr>
        <w:t>osig</w:t>
      </w:r>
      <w:proofErr w:type="spellEnd"/>
      <w:r w:rsidRPr="009268C9">
        <w:rPr>
          <w:rFonts w:eastAsia="Times New Roman" w:cs="Arial"/>
          <w:szCs w:val="22"/>
          <w:lang w:eastAsia="hr-HR"/>
        </w:rPr>
        <w:t>. osobama“ bit će prihvaćena samo u slučaju da je upisan termin.</w:t>
      </w:r>
    </w:p>
    <w:p w14:paraId="7BCECE86"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14:paraId="47D5EB42"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14:paraId="74AF112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14:paraId="7B30E3C5" w14:textId="77777777"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14:paraId="1D9EF32E" w14:textId="77777777" w:rsidR="00D518A3" w:rsidRPr="00D518A3" w:rsidRDefault="00D518A3" w:rsidP="00D518A3">
      <w:pPr>
        <w:rPr>
          <w:rFonts w:eastAsia="Times New Roman" w:cs="Arial"/>
          <w:color w:val="000000" w:themeColor="text1"/>
          <w:szCs w:val="22"/>
          <w:lang w:eastAsia="hr-HR"/>
        </w:rPr>
      </w:pPr>
    </w:p>
    <w:p w14:paraId="75E3F3DD" w14:textId="77777777" w:rsidR="008272D0" w:rsidRDefault="008272D0" w:rsidP="00D518A3">
      <w:pPr>
        <w:ind w:firstLine="708"/>
        <w:rPr>
          <w:rFonts w:eastAsia="Times New Roman" w:cs="Arial"/>
          <w:b/>
          <w:szCs w:val="22"/>
          <w:lang w:eastAsia="hr-HR"/>
        </w:rPr>
      </w:pPr>
    </w:p>
    <w:p w14:paraId="450F626A" w14:textId="77777777"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14:paraId="7A3F6388" w14:textId="77777777" w:rsidR="00D518A3" w:rsidRPr="009268C9" w:rsidRDefault="00D518A3" w:rsidP="00D518A3">
      <w:pPr>
        <w:rPr>
          <w:rFonts w:eastAsia="Times New Roman" w:cs="Arial"/>
          <w:szCs w:val="22"/>
          <w:lang w:eastAsia="hr-HR"/>
        </w:rPr>
      </w:pPr>
    </w:p>
    <w:p w14:paraId="6CDA4F3D"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14:paraId="0E1EDAA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14:paraId="50B756D7" w14:textId="77777777" w:rsidR="00D518A3" w:rsidRPr="009268C9" w:rsidRDefault="00D518A3" w:rsidP="00D518A3">
      <w:pPr>
        <w:ind w:firstLine="708"/>
        <w:rPr>
          <w:rFonts w:eastAsia="Times New Roman" w:cs="Arial"/>
          <w:szCs w:val="22"/>
          <w:lang w:eastAsia="hr-HR"/>
        </w:rPr>
      </w:pPr>
    </w:p>
    <w:p w14:paraId="248B60F5" w14:textId="77777777"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14:paraId="12134B3B"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0939E111" w14:textId="77777777" w:rsidR="0064068A" w:rsidRDefault="0064068A" w:rsidP="00D518A3">
      <w:pPr>
        <w:ind w:firstLine="708"/>
        <w:rPr>
          <w:rFonts w:eastAsia="Times New Roman" w:cs="Arial"/>
          <w:szCs w:val="22"/>
          <w:lang w:eastAsia="hr-HR"/>
        </w:rPr>
      </w:pPr>
    </w:p>
    <w:p w14:paraId="0C7BF95C"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14:paraId="0B19EA09"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7C3403CD"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14:paraId="7282D9F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14:paraId="20EFBFCE"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14:paraId="289DFFC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14:paraId="506B3DA1" w14:textId="77777777" w:rsidR="00D518A3" w:rsidRPr="009268C9" w:rsidRDefault="00D518A3" w:rsidP="00D518A3">
      <w:pPr>
        <w:rPr>
          <w:rFonts w:eastAsia="Times New Roman" w:cs="Arial"/>
          <w:szCs w:val="22"/>
          <w:lang w:eastAsia="hr-HR"/>
        </w:rPr>
      </w:pPr>
    </w:p>
    <w:p w14:paraId="3D282161" w14:textId="77777777"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14:paraId="4795628D" w14:textId="77777777" w:rsidR="00D518A3" w:rsidRPr="009268C9" w:rsidRDefault="00D518A3" w:rsidP="00D518A3">
      <w:pPr>
        <w:rPr>
          <w:rFonts w:eastAsia="Times New Roman" w:cs="Arial"/>
          <w:szCs w:val="22"/>
          <w:lang w:eastAsia="hr-HR"/>
        </w:rPr>
      </w:pPr>
    </w:p>
    <w:p w14:paraId="48F28CAB" w14:textId="77777777"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14:paraId="1C0B66F9" w14:textId="77777777" w:rsidR="00FE1292" w:rsidRPr="009268C9" w:rsidRDefault="00FE1292" w:rsidP="00903DFF">
      <w:pPr>
        <w:ind w:firstLine="567"/>
      </w:pPr>
    </w:p>
    <w:sectPr w:rsidR="00FE1292" w:rsidRPr="009268C9" w:rsidSect="00043928">
      <w:headerReference w:type="first" r:id="rId10"/>
      <w:footerReference w:type="first" r:id="rId11"/>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0304" w14:textId="77777777" w:rsidR="002430E1" w:rsidRDefault="002430E1" w:rsidP="00E40BD2">
      <w:r>
        <w:separator/>
      </w:r>
    </w:p>
  </w:endnote>
  <w:endnote w:type="continuationSeparator" w:id="0">
    <w:p w14:paraId="120EB8A0" w14:textId="77777777" w:rsidR="002430E1" w:rsidRDefault="002430E1"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EA6" w14:textId="77777777" w:rsidR="00D03088" w:rsidRDefault="00D03088" w:rsidP="00651F86">
    <w:pPr>
      <w:pStyle w:val="Podnoje"/>
      <w:ind w:left="-1417"/>
    </w:pPr>
    <w:r>
      <w:rPr>
        <w:noProof/>
        <w:lang w:eastAsia="hr-HR"/>
      </w:rPr>
      <w:drawing>
        <wp:inline distT="0" distB="0" distL="0" distR="0" wp14:anchorId="141EDC1B" wp14:editId="7EEEBE76">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3945" w14:textId="77777777" w:rsidR="002430E1" w:rsidRDefault="002430E1" w:rsidP="00E40BD2">
      <w:r>
        <w:separator/>
      </w:r>
    </w:p>
  </w:footnote>
  <w:footnote w:type="continuationSeparator" w:id="0">
    <w:p w14:paraId="7B2117E0" w14:textId="77777777" w:rsidR="002430E1" w:rsidRDefault="002430E1"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6F" w14:textId="77777777" w:rsidR="00D03088" w:rsidRDefault="00D03088">
    <w:pPr>
      <w:pStyle w:val="Zaglavlje"/>
    </w:pPr>
    <w:r>
      <w:rPr>
        <w:noProof/>
        <w:lang w:eastAsia="hr-HR"/>
      </w:rPr>
      <w:drawing>
        <wp:anchor distT="0" distB="0" distL="114300" distR="114300" simplePos="0" relativeHeight="251657728" behindDoc="0" locked="0" layoutInCell="1" allowOverlap="1" wp14:anchorId="3BE1073D" wp14:editId="42DF85DA">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05560767">
    <w:abstractNumId w:val="5"/>
  </w:num>
  <w:num w:numId="2" w16cid:durableId="1827355056">
    <w:abstractNumId w:val="14"/>
  </w:num>
  <w:num w:numId="3" w16cid:durableId="1185633098">
    <w:abstractNumId w:val="7"/>
  </w:num>
  <w:num w:numId="4" w16cid:durableId="1615553034">
    <w:abstractNumId w:val="0"/>
  </w:num>
  <w:num w:numId="5" w16cid:durableId="1011101197">
    <w:abstractNumId w:val="8"/>
  </w:num>
  <w:num w:numId="6" w16cid:durableId="25565923">
    <w:abstractNumId w:val="6"/>
  </w:num>
  <w:num w:numId="7" w16cid:durableId="299772350">
    <w:abstractNumId w:val="1"/>
  </w:num>
  <w:num w:numId="8" w16cid:durableId="1794402405">
    <w:abstractNumId w:val="4"/>
  </w:num>
  <w:num w:numId="9" w16cid:durableId="850679169">
    <w:abstractNumId w:val="2"/>
  </w:num>
  <w:num w:numId="10" w16cid:durableId="1428847011">
    <w:abstractNumId w:val="13"/>
  </w:num>
  <w:num w:numId="11" w16cid:durableId="1255557523">
    <w:abstractNumId w:val="10"/>
  </w:num>
  <w:num w:numId="12" w16cid:durableId="858355417">
    <w:abstractNumId w:val="3"/>
  </w:num>
  <w:num w:numId="13" w16cid:durableId="1663511538">
    <w:abstractNumId w:val="9"/>
  </w:num>
  <w:num w:numId="14" w16cid:durableId="1649431669">
    <w:abstractNumId w:val="11"/>
  </w:num>
  <w:num w:numId="15" w16cid:durableId="11166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10980"/>
    <w:rsid w:val="00012E30"/>
    <w:rsid w:val="00015C64"/>
    <w:rsid w:val="000408B7"/>
    <w:rsid w:val="000415C5"/>
    <w:rsid w:val="00042F70"/>
    <w:rsid w:val="00043928"/>
    <w:rsid w:val="000461C4"/>
    <w:rsid w:val="00050181"/>
    <w:rsid w:val="000554FA"/>
    <w:rsid w:val="000603FA"/>
    <w:rsid w:val="000609C9"/>
    <w:rsid w:val="00071472"/>
    <w:rsid w:val="0007180F"/>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0DD6"/>
    <w:rsid w:val="002118E4"/>
    <w:rsid w:val="00217367"/>
    <w:rsid w:val="00235E10"/>
    <w:rsid w:val="002430E1"/>
    <w:rsid w:val="0024363B"/>
    <w:rsid w:val="00250B55"/>
    <w:rsid w:val="00257E9D"/>
    <w:rsid w:val="00271186"/>
    <w:rsid w:val="00275927"/>
    <w:rsid w:val="00282740"/>
    <w:rsid w:val="00297E78"/>
    <w:rsid w:val="002B0069"/>
    <w:rsid w:val="002B21D0"/>
    <w:rsid w:val="002B7CEB"/>
    <w:rsid w:val="002C3837"/>
    <w:rsid w:val="002D225B"/>
    <w:rsid w:val="002D6807"/>
    <w:rsid w:val="002D6848"/>
    <w:rsid w:val="002D692E"/>
    <w:rsid w:val="002E2C9B"/>
    <w:rsid w:val="002F2D16"/>
    <w:rsid w:val="0030633A"/>
    <w:rsid w:val="00322314"/>
    <w:rsid w:val="003237CF"/>
    <w:rsid w:val="0032510A"/>
    <w:rsid w:val="00341D60"/>
    <w:rsid w:val="003431E7"/>
    <w:rsid w:val="00350D96"/>
    <w:rsid w:val="003623FD"/>
    <w:rsid w:val="00376B4E"/>
    <w:rsid w:val="00377A0C"/>
    <w:rsid w:val="00394A72"/>
    <w:rsid w:val="00395351"/>
    <w:rsid w:val="003A1329"/>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285B"/>
    <w:rsid w:val="00434FD4"/>
    <w:rsid w:val="004452B7"/>
    <w:rsid w:val="00454ED2"/>
    <w:rsid w:val="00482016"/>
    <w:rsid w:val="004B04B6"/>
    <w:rsid w:val="004C5AAB"/>
    <w:rsid w:val="004C651E"/>
    <w:rsid w:val="004C6F69"/>
    <w:rsid w:val="004D5688"/>
    <w:rsid w:val="004D6B49"/>
    <w:rsid w:val="004E12E3"/>
    <w:rsid w:val="00500289"/>
    <w:rsid w:val="005004E0"/>
    <w:rsid w:val="005021AA"/>
    <w:rsid w:val="0052088D"/>
    <w:rsid w:val="005274F8"/>
    <w:rsid w:val="00540786"/>
    <w:rsid w:val="005563A1"/>
    <w:rsid w:val="005564B4"/>
    <w:rsid w:val="005622F8"/>
    <w:rsid w:val="00565FF3"/>
    <w:rsid w:val="00571AF2"/>
    <w:rsid w:val="005B322E"/>
    <w:rsid w:val="005B3984"/>
    <w:rsid w:val="005B7E05"/>
    <w:rsid w:val="005C777B"/>
    <w:rsid w:val="005D1DFD"/>
    <w:rsid w:val="005D54F1"/>
    <w:rsid w:val="005F6D96"/>
    <w:rsid w:val="005F7188"/>
    <w:rsid w:val="00603CB1"/>
    <w:rsid w:val="00631A67"/>
    <w:rsid w:val="0064068A"/>
    <w:rsid w:val="00651F86"/>
    <w:rsid w:val="0065401F"/>
    <w:rsid w:val="00672619"/>
    <w:rsid w:val="00673119"/>
    <w:rsid w:val="00675ED2"/>
    <w:rsid w:val="006821DF"/>
    <w:rsid w:val="006915AD"/>
    <w:rsid w:val="006A064D"/>
    <w:rsid w:val="006B2C2B"/>
    <w:rsid w:val="006D19CA"/>
    <w:rsid w:val="006E002E"/>
    <w:rsid w:val="007317F2"/>
    <w:rsid w:val="00736A90"/>
    <w:rsid w:val="00772F7F"/>
    <w:rsid w:val="00774087"/>
    <w:rsid w:val="007800D8"/>
    <w:rsid w:val="0078330F"/>
    <w:rsid w:val="007906D6"/>
    <w:rsid w:val="007B496D"/>
    <w:rsid w:val="007C5E57"/>
    <w:rsid w:val="007D30A8"/>
    <w:rsid w:val="007E7B70"/>
    <w:rsid w:val="00803109"/>
    <w:rsid w:val="008033C6"/>
    <w:rsid w:val="00807030"/>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304D7"/>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21448"/>
    <w:rsid w:val="00A232D6"/>
    <w:rsid w:val="00A52F99"/>
    <w:rsid w:val="00A53C64"/>
    <w:rsid w:val="00A571AB"/>
    <w:rsid w:val="00A62EA0"/>
    <w:rsid w:val="00A62FA1"/>
    <w:rsid w:val="00A64DAE"/>
    <w:rsid w:val="00A7530E"/>
    <w:rsid w:val="00A76358"/>
    <w:rsid w:val="00A768F8"/>
    <w:rsid w:val="00A80863"/>
    <w:rsid w:val="00A855F1"/>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45D69"/>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621C"/>
    <w:rsid w:val="00C074B4"/>
    <w:rsid w:val="00C20EC1"/>
    <w:rsid w:val="00C26784"/>
    <w:rsid w:val="00C27B54"/>
    <w:rsid w:val="00C310A9"/>
    <w:rsid w:val="00C345A6"/>
    <w:rsid w:val="00C3507C"/>
    <w:rsid w:val="00C4049E"/>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D51EF"/>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D25A"/>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 w:type="character" w:styleId="Nerijeenospominjanje">
    <w:name w:val="Unresolved Mention"/>
    <w:basedOn w:val="Zadanifontodlomka"/>
    <w:uiPriority w:val="99"/>
    <w:semiHidden/>
    <w:unhideWhenUsed/>
    <w:rsid w:val="0080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dravstveno.hzzo.hr/PoslovniPor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AF83-6220-4D65-B6AB-C18787E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1730</Words>
  <Characters>9861</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Poznik Marko</cp:lastModifiedBy>
  <cp:revision>81</cp:revision>
  <cp:lastPrinted>2019-05-09T12:58:00Z</cp:lastPrinted>
  <dcterms:created xsi:type="dcterms:W3CDTF">2019-07-02T06:02:00Z</dcterms:created>
  <dcterms:modified xsi:type="dcterms:W3CDTF">2026-01-16T14:19:00Z</dcterms:modified>
</cp:coreProperties>
</file>