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</w:t>
      </w:r>
      <w:r w:rsidR="00A114D9">
        <w:rPr>
          <w:rFonts w:cs="Arial"/>
          <w:color w:val="595959" w:themeColor="text1" w:themeTint="A6"/>
          <w:sz w:val="20"/>
          <w:szCs w:val="22"/>
        </w:rPr>
        <w:t>, KLASA: 025-04/23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A114D9">
        <w:rPr>
          <w:rFonts w:cs="Arial"/>
          <w:color w:val="595959" w:themeColor="text1" w:themeTint="A6"/>
          <w:sz w:val="20"/>
          <w:szCs w:val="22"/>
        </w:rPr>
        <w:t>271, URBROJ: 338-01-01-23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B38D3">
        <w:rPr>
          <w:rFonts w:cs="Arial"/>
          <w:color w:val="595959" w:themeColor="text1" w:themeTint="A6"/>
          <w:sz w:val="20"/>
          <w:szCs w:val="22"/>
        </w:rPr>
        <w:t>29.11.2023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593A8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za sklapanje ugovora o provođenju specifične zdravstvene zaštite iz obveznog zdravstvenog osiguranja za potrebe popune Mreže </w:t>
      </w:r>
      <w:r w:rsidR="00CA7482">
        <w:rPr>
          <w:rFonts w:cs="Arial"/>
          <w:b/>
          <w:color w:val="595959" w:themeColor="text1" w:themeTint="A6"/>
          <w:sz w:val="20"/>
          <w:szCs w:val="22"/>
        </w:rPr>
        <w:t>javne zdravstvene službe</w:t>
      </w:r>
    </w:p>
    <w:p w:rsidR="00427BB9" w:rsidRPr="004628E5" w:rsidRDefault="00427BB9" w:rsidP="004628E5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22A34">
        <w:rPr>
          <w:rFonts w:cs="Arial"/>
          <w:color w:val="595959" w:themeColor="text1" w:themeTint="A6"/>
          <w:sz w:val="20"/>
          <w:szCs w:val="22"/>
        </w:rPr>
        <w:t>.,</w:t>
      </w:r>
      <w:r w:rsidR="007A0C85">
        <w:rPr>
          <w:rFonts w:cs="Arial"/>
          <w:color w:val="595959" w:themeColor="text1" w:themeTint="A6"/>
          <w:sz w:val="20"/>
          <w:szCs w:val="22"/>
        </w:rPr>
        <w:t>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="00722A34">
        <w:rPr>
          <w:rFonts w:cs="Arial"/>
          <w:color w:val="595959" w:themeColor="text1" w:themeTint="A6"/>
          <w:sz w:val="20"/>
          <w:szCs w:val="22"/>
        </w:rPr>
        <w:t>, 119/22., 156/22., 33/23. i 36/24.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222371">
        <w:rPr>
          <w:rFonts w:cs="Arial"/>
          <w:color w:val="595959" w:themeColor="text1" w:themeTint="A6"/>
          <w:sz w:val="20"/>
          <w:szCs w:val="22"/>
        </w:rPr>
        <w:t>98/19.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33/23</w:t>
      </w:r>
      <w:r w:rsidR="00FB38D3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3777D5">
        <w:rPr>
          <w:rFonts w:cs="Arial"/>
          <w:color w:val="595959" w:themeColor="text1" w:themeTint="A6"/>
          <w:sz w:val="20"/>
          <w:szCs w:val="22"/>
        </w:rPr>
        <w:t>156/22.</w:t>
      </w:r>
      <w:r w:rsidR="009C1D6C">
        <w:rPr>
          <w:rFonts w:cs="Arial"/>
          <w:color w:val="595959" w:themeColor="text1" w:themeTint="A6"/>
          <w:sz w:val="20"/>
          <w:szCs w:val="22"/>
        </w:rPr>
        <w:t>,</w:t>
      </w:r>
      <w:r w:rsidR="00593A89">
        <w:rPr>
          <w:rFonts w:cs="Arial"/>
          <w:color w:val="595959" w:themeColor="text1" w:themeTint="A6"/>
          <w:sz w:val="20"/>
          <w:szCs w:val="22"/>
        </w:rPr>
        <w:t>37/23</w:t>
      </w:r>
      <w:r w:rsidR="009C1D6C">
        <w:rPr>
          <w:rFonts w:cs="Arial"/>
          <w:color w:val="595959" w:themeColor="text1" w:themeTint="A6"/>
          <w:sz w:val="20"/>
          <w:szCs w:val="22"/>
        </w:rPr>
        <w:t>., 58/23</w:t>
      </w:r>
      <w:r w:rsidR="00722A34">
        <w:rPr>
          <w:rFonts w:cs="Arial"/>
          <w:color w:val="595959" w:themeColor="text1" w:themeTint="A6"/>
          <w:sz w:val="20"/>
          <w:szCs w:val="22"/>
        </w:rPr>
        <w:t xml:space="preserve">.,150/23., </w:t>
      </w:r>
      <w:r w:rsidR="00FB38D3">
        <w:rPr>
          <w:rFonts w:cs="Arial"/>
          <w:color w:val="595959" w:themeColor="text1" w:themeTint="A6"/>
          <w:sz w:val="20"/>
          <w:szCs w:val="22"/>
        </w:rPr>
        <w:t>25/24.</w:t>
      </w:r>
      <w:r w:rsidR="00CA7482">
        <w:rPr>
          <w:rFonts w:cs="Arial"/>
          <w:color w:val="595959" w:themeColor="text1" w:themeTint="A6"/>
          <w:sz w:val="20"/>
          <w:szCs w:val="22"/>
        </w:rPr>
        <w:t xml:space="preserve"> i</w:t>
      </w:r>
      <w:r w:rsidR="00722A34">
        <w:rPr>
          <w:rFonts w:cs="Arial"/>
          <w:color w:val="595959" w:themeColor="text1" w:themeTint="A6"/>
          <w:sz w:val="20"/>
          <w:szCs w:val="22"/>
        </w:rPr>
        <w:t xml:space="preserve"> 51/24.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</w:t>
      </w:r>
      <w:r w:rsidR="00722A34">
        <w:rPr>
          <w:rFonts w:cs="Arial"/>
          <w:color w:val="595959" w:themeColor="text1" w:themeTint="A6"/>
          <w:sz w:val="20"/>
          <w:szCs w:val="22"/>
        </w:rPr>
        <w:t>za područja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722A34">
        <w:rPr>
          <w:rFonts w:cs="Arial"/>
          <w:color w:val="595959" w:themeColor="text1" w:themeTint="A6"/>
          <w:sz w:val="20"/>
          <w:szCs w:val="22"/>
        </w:rPr>
        <w:t>u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kojima je Mreža </w:t>
      </w:r>
      <w:r w:rsidR="00722A34">
        <w:rPr>
          <w:rFonts w:cs="Arial"/>
          <w:color w:val="595959" w:themeColor="text1" w:themeTint="A6"/>
          <w:sz w:val="20"/>
          <w:szCs w:val="22"/>
        </w:rPr>
        <w:t>javne zdravstvene službe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("Narodne novine" broj </w:t>
      </w:r>
      <w:r w:rsidR="00722A34">
        <w:rPr>
          <w:rFonts w:cs="Arial"/>
          <w:color w:val="595959" w:themeColor="text1" w:themeTint="A6"/>
          <w:sz w:val="20"/>
          <w:szCs w:val="22"/>
        </w:rPr>
        <w:t>49/24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722A34" w:rsidRPr="00722A3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22A34">
        <w:rPr>
          <w:rFonts w:cs="Arial"/>
          <w:b/>
          <w:color w:val="595959" w:themeColor="text1" w:themeTint="A6"/>
          <w:sz w:val="20"/>
          <w:szCs w:val="22"/>
        </w:rPr>
        <w:t>Tablica 1</w:t>
      </w:r>
      <w:r w:rsidR="004A5D4A">
        <w:rPr>
          <w:rFonts w:cs="Arial"/>
          <w:b/>
          <w:color w:val="595959" w:themeColor="text1" w:themeTint="A6"/>
          <w:sz w:val="20"/>
          <w:szCs w:val="22"/>
        </w:rPr>
        <w:t>.</w:t>
      </w:r>
      <w:r w:rsidRPr="00722A34">
        <w:rPr>
          <w:rFonts w:cs="Arial"/>
          <w:b/>
          <w:color w:val="595959" w:themeColor="text1" w:themeTint="A6"/>
          <w:sz w:val="20"/>
          <w:szCs w:val="22"/>
        </w:rPr>
        <w:t xml:space="preserve">: Potreban broj </w:t>
      </w:r>
      <w:r w:rsidR="00401583" w:rsidRPr="00722A34">
        <w:rPr>
          <w:rFonts w:cs="Arial"/>
          <w:b/>
          <w:color w:val="595959" w:themeColor="text1" w:themeTint="A6"/>
          <w:sz w:val="20"/>
          <w:szCs w:val="22"/>
        </w:rPr>
        <w:t>timova</w:t>
      </w:r>
      <w:r w:rsidR="00593A89" w:rsidRPr="00722A34">
        <w:rPr>
          <w:rFonts w:cs="Arial"/>
          <w:b/>
          <w:color w:val="595959" w:themeColor="text1" w:themeTint="A6"/>
          <w:sz w:val="20"/>
          <w:szCs w:val="22"/>
        </w:rPr>
        <w:t xml:space="preserve"> medicine rada po županijama/</w:t>
      </w:r>
      <w:r w:rsidRPr="00722A34">
        <w:rPr>
          <w:rFonts w:cs="Arial"/>
          <w:b/>
          <w:color w:val="595959" w:themeColor="text1" w:themeTint="A6"/>
          <w:sz w:val="20"/>
          <w:szCs w:val="22"/>
        </w:rPr>
        <w:t>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722A34" w:rsidRPr="00722A34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9F06F5" w:rsidP="009F06F5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  <w:t>Nedostaje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Pr="00722A34" w:rsidRDefault="00007848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3,5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A7418F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</w:t>
            </w:r>
            <w:r w:rsidR="00007848"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7</w:t>
            </w:r>
            <w:r w:rsidR="003777D5"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5</w:t>
            </w:r>
            <w:r w:rsidR="00007848"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722A34" w:rsidRPr="00722A34" w:rsidRDefault="00722A34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22A34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3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722A34" w:rsidRDefault="00B269E6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722A34" w:rsidRDefault="00B269E6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0,6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Pr="00722A34" w:rsidRDefault="003777D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0,5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4,3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722A34" w:rsidRDefault="00B269E6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  <w:r w:rsidR="00B269E6"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3777D5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593A89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5,8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593A89" w:rsidRPr="00722A34" w:rsidRDefault="00593A89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3A89" w:rsidRPr="00722A34" w:rsidRDefault="00593A89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  <w:r w:rsidR="00C774F3"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4628E5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</w:t>
            </w:r>
            <w:r w:rsidR="00593A89"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,5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722A34" w:rsidRDefault="00036384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722A34" w:rsidRDefault="0003638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D3B93" w:rsidP="00722A34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  <w:tr w:rsidR="00722A34" w:rsidRPr="00722A34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722A34" w:rsidRDefault="009F06F5" w:rsidP="009F06F5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722A34" w:rsidRDefault="00722A34" w:rsidP="009F06F5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4</w:t>
            </w:r>
          </w:p>
        </w:tc>
      </w:tr>
    </w:tbl>
    <w:p w:rsidR="004A5D4A" w:rsidRDefault="004A5D4A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A5D4A" w:rsidRDefault="004A5D4A" w:rsidP="004A5D4A">
      <w:pPr>
        <w:rPr>
          <w:rFonts w:cs="Arial"/>
          <w:b/>
          <w:color w:val="595959" w:themeColor="text1" w:themeTint="A6"/>
          <w:sz w:val="20"/>
          <w:szCs w:val="22"/>
        </w:rPr>
      </w:pPr>
      <w:r>
        <w:rPr>
          <w:rFonts w:cs="Arial"/>
          <w:b/>
          <w:color w:val="595959" w:themeColor="text1" w:themeTint="A6"/>
          <w:sz w:val="20"/>
          <w:szCs w:val="22"/>
        </w:rPr>
        <w:lastRenderedPageBreak/>
        <w:t>Tablica 2.</w:t>
      </w:r>
      <w:r w:rsidRPr="00722A34">
        <w:rPr>
          <w:rFonts w:cs="Arial"/>
          <w:b/>
          <w:color w:val="595959" w:themeColor="text1" w:themeTint="A6"/>
          <w:sz w:val="20"/>
          <w:szCs w:val="22"/>
        </w:rPr>
        <w:t xml:space="preserve">: Potreban broj timova medicine rada </w:t>
      </w:r>
      <w:r>
        <w:rPr>
          <w:rFonts w:cs="Arial"/>
          <w:b/>
          <w:color w:val="595959" w:themeColor="text1" w:themeTint="A6"/>
          <w:sz w:val="20"/>
          <w:szCs w:val="22"/>
        </w:rPr>
        <w:t>u županijskim zavodima za javno zdravstvo</w:t>
      </w:r>
    </w:p>
    <w:p w:rsidR="004A5D4A" w:rsidRPr="00722A34" w:rsidRDefault="004A5D4A" w:rsidP="004A5D4A">
      <w:pPr>
        <w:rPr>
          <w:rFonts w:cs="Arial"/>
          <w:b/>
          <w:color w:val="595959" w:themeColor="text1" w:themeTint="A6"/>
          <w:sz w:val="20"/>
          <w:szCs w:val="22"/>
        </w:rPr>
      </w:pPr>
      <w:r>
        <w:rPr>
          <w:rFonts w:cs="Arial"/>
          <w:b/>
          <w:color w:val="595959" w:themeColor="text1" w:themeTint="A6"/>
          <w:sz w:val="20"/>
          <w:szCs w:val="22"/>
        </w:rPr>
        <w:t>po županijama/Gradu Zagrebu</w:t>
      </w:r>
    </w:p>
    <w:tbl>
      <w:tblPr>
        <w:tblW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17"/>
      </w:tblGrid>
      <w:tr w:rsidR="004A5D4A" w:rsidRPr="00722A34" w:rsidTr="004A5D4A">
        <w:trPr>
          <w:trHeight w:val="335"/>
        </w:trPr>
        <w:tc>
          <w:tcPr>
            <w:tcW w:w="3652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hr-HR"/>
              </w:rPr>
              <w:t>Nedostaje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1</w:t>
            </w:r>
          </w:p>
        </w:tc>
      </w:tr>
      <w:tr w:rsidR="004A5D4A" w:rsidRPr="00722A34" w:rsidTr="004A5D4A">
        <w:trPr>
          <w:trHeight w:val="248"/>
        </w:trPr>
        <w:tc>
          <w:tcPr>
            <w:tcW w:w="3652" w:type="dxa"/>
            <w:shd w:val="clear" w:color="auto" w:fill="auto"/>
            <w:noWrap/>
            <w:vAlign w:val="center"/>
          </w:tcPr>
          <w:p w:rsidR="004A5D4A" w:rsidRPr="00722A34" w:rsidRDefault="004A5D4A" w:rsidP="006B64F8">
            <w:pPr>
              <w:jc w:val="left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 w:rsidRPr="00722A34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A5D4A" w:rsidRPr="00722A34" w:rsidRDefault="004A5D4A" w:rsidP="006B64F8">
            <w:pPr>
              <w:jc w:val="center"/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hr-HR"/>
              </w:rPr>
              <w:t>2</w:t>
            </w:r>
          </w:p>
        </w:tc>
      </w:tr>
    </w:tbl>
    <w:p w:rsidR="004A5D4A" w:rsidRDefault="004A5D4A" w:rsidP="004A5D4A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A5D4A" w:rsidRDefault="004A5D4A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  <w:r w:rsidR="00E60AED">
        <w:rPr>
          <w:rFonts w:cs="Arial"/>
          <w:color w:val="595959" w:themeColor="text1" w:themeTint="A6"/>
          <w:sz w:val="20"/>
          <w:szCs w:val="22"/>
        </w:rPr>
        <w:t xml:space="preserve"> (ne starije od 6 mjeseci)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BB1E52" w:rsidRDefault="00BB1E52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BB1E52">
        <w:rPr>
          <w:rFonts w:cs="Arial"/>
          <w:b/>
          <w:color w:val="595959" w:themeColor="text1" w:themeTint="A6"/>
          <w:sz w:val="20"/>
          <w:szCs w:val="22"/>
        </w:rPr>
        <w:t>19.06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.2024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BB1E52">
        <w:rPr>
          <w:rFonts w:cs="Arial"/>
          <w:b/>
          <w:color w:val="595959" w:themeColor="text1" w:themeTint="A6"/>
          <w:sz w:val="20"/>
          <w:szCs w:val="22"/>
        </w:rPr>
        <w:t>26.6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24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BB1E52">
        <w:rPr>
          <w:rFonts w:cs="Arial"/>
          <w:b/>
          <w:color w:val="595959" w:themeColor="text1" w:themeTint="A6"/>
          <w:sz w:val="20"/>
          <w:szCs w:val="22"/>
        </w:rPr>
        <w:t>19.6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.2024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BB1E52">
        <w:rPr>
          <w:rFonts w:cs="Arial"/>
          <w:b/>
          <w:color w:val="595959" w:themeColor="text1" w:themeTint="A6"/>
          <w:sz w:val="20"/>
          <w:szCs w:val="22"/>
        </w:rPr>
        <w:t>26.6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 2024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</w:t>
      </w:r>
      <w:r w:rsidR="00BB1E52">
        <w:rPr>
          <w:rFonts w:cs="Arial"/>
          <w:color w:val="595959" w:themeColor="text1" w:themeTint="A6"/>
          <w:sz w:val="20"/>
          <w:szCs w:val="22"/>
        </w:rPr>
        <w:t xml:space="preserve"> nije iskazana potreba u Tablicama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1. </w:t>
      </w:r>
      <w:r w:rsidR="00BB1E52">
        <w:rPr>
          <w:rFonts w:cs="Arial"/>
          <w:color w:val="595959" w:themeColor="text1" w:themeTint="A6"/>
          <w:sz w:val="20"/>
          <w:szCs w:val="22"/>
        </w:rPr>
        <w:t xml:space="preserve">i 2. </w:t>
      </w:r>
      <w:r w:rsidRPr="00AD7BB0">
        <w:rPr>
          <w:rFonts w:cs="Arial"/>
          <w:color w:val="595959" w:themeColor="text1" w:themeTint="A6"/>
          <w:sz w:val="20"/>
          <w:szCs w:val="22"/>
        </w:rPr>
        <w:t>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CA7482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color w:val="595959" w:themeColor="text1" w:themeTint="A6"/>
          <w:sz w:val="20"/>
          <w:szCs w:val="20"/>
        </w:rPr>
        <w:t xml:space="preserve">*izdaje nadležni </w:t>
      </w:r>
      <w:r w:rsidR="00AD7BB0" w:rsidRPr="00AD7BB0">
        <w:rPr>
          <w:rFonts w:cs="Arial"/>
          <w:color w:val="595959" w:themeColor="text1" w:themeTint="A6"/>
          <w:sz w:val="20"/>
          <w:szCs w:val="20"/>
        </w:rPr>
        <w:t xml:space="preserve">općinski sud ili </w:t>
      </w:r>
      <w:r>
        <w:rPr>
          <w:rFonts w:cs="Arial"/>
          <w:color w:val="595959" w:themeColor="text1" w:themeTint="A6"/>
          <w:sz w:val="20"/>
          <w:szCs w:val="20"/>
        </w:rPr>
        <w:t>putem</w:t>
      </w:r>
      <w:bookmarkStart w:id="0" w:name="_GoBack"/>
      <w:bookmarkEnd w:id="0"/>
      <w:r w:rsidR="00AD7BB0" w:rsidRPr="00AD7BB0">
        <w:rPr>
          <w:rFonts w:cs="Arial"/>
          <w:color w:val="595959" w:themeColor="text1" w:themeTint="A6"/>
          <w:sz w:val="20"/>
          <w:szCs w:val="20"/>
        </w:rPr>
        <w:t xml:space="preserve">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A9" w:rsidRDefault="009117A9" w:rsidP="00E40BD2">
      <w:r>
        <w:separator/>
      </w:r>
    </w:p>
  </w:endnote>
  <w:endnote w:type="continuationSeparator" w:id="0">
    <w:p w:rsidR="009117A9" w:rsidRDefault="009117A9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A9" w:rsidRDefault="009117A9" w:rsidP="00E40BD2">
      <w:r>
        <w:separator/>
      </w:r>
    </w:p>
  </w:footnote>
  <w:footnote w:type="continuationSeparator" w:id="0">
    <w:p w:rsidR="009117A9" w:rsidRDefault="009117A9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30534"/>
    <w:rsid w:val="0014242E"/>
    <w:rsid w:val="00152708"/>
    <w:rsid w:val="001620F5"/>
    <w:rsid w:val="00172E93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A55A3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5921"/>
    <w:rsid w:val="00376B4E"/>
    <w:rsid w:val="003777D5"/>
    <w:rsid w:val="0038068F"/>
    <w:rsid w:val="00395351"/>
    <w:rsid w:val="003C497A"/>
    <w:rsid w:val="003E0920"/>
    <w:rsid w:val="003E74A4"/>
    <w:rsid w:val="00401583"/>
    <w:rsid w:val="004060A1"/>
    <w:rsid w:val="00427BB9"/>
    <w:rsid w:val="00436AF9"/>
    <w:rsid w:val="0045075C"/>
    <w:rsid w:val="004628E5"/>
    <w:rsid w:val="004A4407"/>
    <w:rsid w:val="004A5D4A"/>
    <w:rsid w:val="004C5696"/>
    <w:rsid w:val="004C5AAB"/>
    <w:rsid w:val="004D0848"/>
    <w:rsid w:val="004D4541"/>
    <w:rsid w:val="00513FBC"/>
    <w:rsid w:val="00527195"/>
    <w:rsid w:val="00557661"/>
    <w:rsid w:val="00593171"/>
    <w:rsid w:val="00593A89"/>
    <w:rsid w:val="005D54F1"/>
    <w:rsid w:val="00603CB1"/>
    <w:rsid w:val="0061478E"/>
    <w:rsid w:val="00616004"/>
    <w:rsid w:val="00631474"/>
    <w:rsid w:val="00635CCB"/>
    <w:rsid w:val="00651F86"/>
    <w:rsid w:val="0065686F"/>
    <w:rsid w:val="00673119"/>
    <w:rsid w:val="00675ED2"/>
    <w:rsid w:val="00686211"/>
    <w:rsid w:val="006915AD"/>
    <w:rsid w:val="00697722"/>
    <w:rsid w:val="006A750F"/>
    <w:rsid w:val="006B005B"/>
    <w:rsid w:val="006C2197"/>
    <w:rsid w:val="006C3F41"/>
    <w:rsid w:val="006C7D8C"/>
    <w:rsid w:val="006E002E"/>
    <w:rsid w:val="006F2B01"/>
    <w:rsid w:val="007043B1"/>
    <w:rsid w:val="00716F8E"/>
    <w:rsid w:val="00722A34"/>
    <w:rsid w:val="007312C0"/>
    <w:rsid w:val="007317F2"/>
    <w:rsid w:val="00751A8D"/>
    <w:rsid w:val="00754AA6"/>
    <w:rsid w:val="00786920"/>
    <w:rsid w:val="007A0C85"/>
    <w:rsid w:val="007A4BA2"/>
    <w:rsid w:val="007B26A6"/>
    <w:rsid w:val="007D1A24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17A9"/>
    <w:rsid w:val="00916BE1"/>
    <w:rsid w:val="00923378"/>
    <w:rsid w:val="0094436B"/>
    <w:rsid w:val="00946EBB"/>
    <w:rsid w:val="00950196"/>
    <w:rsid w:val="009525D6"/>
    <w:rsid w:val="00972AC4"/>
    <w:rsid w:val="00982609"/>
    <w:rsid w:val="009B4C49"/>
    <w:rsid w:val="009C1D6C"/>
    <w:rsid w:val="009D724E"/>
    <w:rsid w:val="009F06F5"/>
    <w:rsid w:val="00A00822"/>
    <w:rsid w:val="00A010AA"/>
    <w:rsid w:val="00A114D9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01EF9"/>
    <w:rsid w:val="00B15555"/>
    <w:rsid w:val="00B26575"/>
    <w:rsid w:val="00B269E6"/>
    <w:rsid w:val="00B540CE"/>
    <w:rsid w:val="00B637AC"/>
    <w:rsid w:val="00B75762"/>
    <w:rsid w:val="00BB08B8"/>
    <w:rsid w:val="00BB1E52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774F3"/>
    <w:rsid w:val="00C85C90"/>
    <w:rsid w:val="00C87B7A"/>
    <w:rsid w:val="00CA017F"/>
    <w:rsid w:val="00CA7482"/>
    <w:rsid w:val="00CC22B7"/>
    <w:rsid w:val="00D21AE8"/>
    <w:rsid w:val="00D22BD1"/>
    <w:rsid w:val="00D27E93"/>
    <w:rsid w:val="00D80D20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0AED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66A3"/>
    <w:rsid w:val="00F87C09"/>
    <w:rsid w:val="00FB38D3"/>
    <w:rsid w:val="00FC0FC1"/>
    <w:rsid w:val="00FD3A40"/>
    <w:rsid w:val="00FD4974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7F7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4A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ACDC-69B9-4DAC-B088-6307743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4</cp:revision>
  <dcterms:created xsi:type="dcterms:W3CDTF">2024-06-18T08:57:00Z</dcterms:created>
  <dcterms:modified xsi:type="dcterms:W3CDTF">2024-06-19T06:15:00Z</dcterms:modified>
</cp:coreProperties>
</file>