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85" w:rsidRPr="001C476E" w:rsidRDefault="000258F9" w:rsidP="00554B2F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A97CAB" w:rsidRPr="001C476E" w:rsidRDefault="00554B2F" w:rsidP="00554B2F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C8176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47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27. veljače</w:t>
      </w:r>
      <w:r w:rsidR="003E5904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6B7D69" w:rsidRPr="001C476E" w:rsidRDefault="006B7D69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656CD1" w:rsidRPr="001C476E" w:rsidRDefault="00656CD1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</w:t>
      </w:r>
      <w:r w:rsidR="00865F34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j u j e</w:t>
      </w:r>
    </w:p>
    <w:p w:rsidR="00554B2F" w:rsidRPr="001C476E" w:rsidRDefault="00554B2F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specijalističko-konzilijarne i dijagnostičke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014EF1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06368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specijalističko-konzilijarne i dijagnostičke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zdravstvene zaštite iz obveznog zdravstvenog </w:t>
      </w:r>
      <w:r w:rsidR="00A97CAB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osiguranja</w:t>
      </w:r>
      <w:r w:rsid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B6D1C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 prihvaćanja ponude do kraja važećeg ugovornog razdoblja</w:t>
      </w:r>
      <w:r w:rsidR="00A97CAB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74156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CB6D1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odredbama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Zakona o zdravstvenoj zaštiti ("Narodne </w:t>
      </w:r>
      <w:r w:rsidR="00400C9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8B468E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 119/18.</w:t>
      </w:r>
      <w:r w:rsidR="008B468E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daljnjem tekstu: Odluka o osnovama za sklapanje ugovora) i drugim općim aktima Hrvatskog zavoda za zdravstveno osiguranje (u daljnjem tekstu: Zavod) na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područjima </w:t>
      </w:r>
      <w:r w:rsidR="002C6FC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Mreža javne zdravstvene službe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("Narodne novine" broj 101/12.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31/13.</w:t>
      </w:r>
      <w:r w:rsidR="0016409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113/15.</w:t>
      </w:r>
      <w:r w:rsidR="0016409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20/18.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Mreža)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="002642E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kako slijedi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43752A" w:rsidRPr="001C476E" w:rsidRDefault="0043752A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5D022F">
          <w:headerReference w:type="first" r:id="rId8"/>
          <w:pgSz w:w="11900" w:h="16840"/>
          <w:pgMar w:top="1077" w:right="1134" w:bottom="1077" w:left="1134" w:header="0" w:footer="709" w:gutter="0"/>
          <w:cols w:space="708"/>
          <w:titlePg/>
          <w:docGrid w:linePitch="360"/>
        </w:sectPr>
      </w:pPr>
    </w:p>
    <w:p w:rsidR="00554B2F" w:rsidRPr="001C476E" w:rsidRDefault="00554B2F" w:rsidP="00F43102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55951" w:rsidRPr="001C476E" w:rsidRDefault="00E55951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55951" w:rsidRPr="001C476E" w:rsidRDefault="00E55951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Default="00E8792A" w:rsidP="00E8792A">
      <w:pPr>
        <w:rPr>
          <w:rFonts w:ascii="Calibri" w:eastAsia="Times New Roman" w:hAnsi="Calibri" w:cs="Calibri"/>
          <w:bCs/>
          <w:color w:val="000000"/>
          <w:sz w:val="22"/>
          <w:szCs w:val="22"/>
          <w:lang w:val="hr-HR" w:eastAsia="hr-HR"/>
        </w:rPr>
      </w:pPr>
      <w:r w:rsidRPr="00E8792A">
        <w:rPr>
          <w:rFonts w:ascii="Calibri" w:eastAsia="Times New Roman" w:hAnsi="Calibri" w:cs="Calibri"/>
          <w:bCs/>
          <w:color w:val="000000"/>
          <w:sz w:val="22"/>
          <w:szCs w:val="22"/>
          <w:lang w:val="hr-HR" w:eastAsia="hr-HR"/>
        </w:rPr>
        <w:t>Tablica 1. Potreban broj specijalističko-konzilijarnih i dijagnostičkih timova prema utvrđenom standardu po županijama/Gradu Zagrebu</w:t>
      </w:r>
    </w:p>
    <w:p w:rsidR="009460D1" w:rsidRPr="001C476E" w:rsidRDefault="009460D1" w:rsidP="00E8792A">
      <w:pP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tbl>
      <w:tblPr>
        <w:tblW w:w="100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8792A" w:rsidTr="00664098">
        <w:trPr>
          <w:trHeight w:val="19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57">
              <w:rPr>
                <w:rFonts w:ascii="Arial" w:hAnsi="Arial" w:cs="Arial"/>
                <w:b/>
                <w:bCs/>
                <w:sz w:val="16"/>
                <w:szCs w:val="20"/>
              </w:rPr>
              <w:t>N  A  Z  I  V</w:t>
            </w:r>
            <w:r w:rsidRPr="00DE2857">
              <w:rPr>
                <w:rFonts w:ascii="Arial" w:hAnsi="Arial" w:cs="Arial"/>
                <w:b/>
                <w:bCs/>
                <w:sz w:val="16"/>
                <w:szCs w:val="20"/>
              </w:rPr>
              <w:br/>
            </w:r>
            <w:proofErr w:type="spellStart"/>
            <w:r w:rsidRPr="00DE2857">
              <w:rPr>
                <w:rFonts w:ascii="Arial" w:hAnsi="Arial" w:cs="Arial"/>
                <w:b/>
                <w:bCs/>
                <w:sz w:val="16"/>
                <w:szCs w:val="20"/>
              </w:rPr>
              <w:t>djelatnosti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BJELOVARSKO-BILOGORSKA ŽUPANIJA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BRODSKO-POSAVSKA ŽUPANIJA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ISTARSKA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ŽUPANIJA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KARLOVAČKA ŽUPANIJA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KOPRIVNIČKO-KRIŽEVAČKA ŽUPANIJA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LIČKO-SENJSKA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OSJEČKO-BARANJSKA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POŽEŠKO-SLAVONSKA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PRIMORSKO-GORANSKA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SISAČKO-MOSLAVAČKA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SPLITSKO-DALMATINSKA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VARAŽDINSKA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VIROVITIČKO-PODRAVSKA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VUKOVARSKO-SRIJEMSKA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ZADARSKA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 ZAGREB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ZAGREBAČKA ŽUPANIJA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8792A" w:rsidRDefault="00E879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E8792A" w:rsidTr="00664098">
        <w:trPr>
          <w:trHeight w:val="18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Neurologija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E8792A" w:rsidTr="00664098">
        <w:trPr>
          <w:trHeight w:val="18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Ortodoncija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E8792A" w:rsidTr="00664098">
        <w:trPr>
          <w:trHeight w:val="18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Oralna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kirurgija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8792A" w:rsidTr="00664098">
        <w:trPr>
          <w:trHeight w:val="18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citologija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92A" w:rsidRDefault="00E8792A" w:rsidP="00E8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</w:tbl>
    <w:p w:rsidR="00E55951" w:rsidRDefault="00E55951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9460D1" w:rsidRDefault="009460D1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Pr="00E8792A" w:rsidRDefault="00E8792A" w:rsidP="00E8792A">
      <w:pPr>
        <w:rPr>
          <w:rFonts w:ascii="Calibri" w:eastAsia="Times New Roman" w:hAnsi="Calibri" w:cs="Calibri"/>
          <w:bCs/>
          <w:color w:val="000000"/>
          <w:sz w:val="22"/>
          <w:szCs w:val="22"/>
          <w:lang w:val="hr-HR" w:eastAsia="hr-HR"/>
        </w:rPr>
      </w:pPr>
      <w:r w:rsidRPr="00E8792A">
        <w:rPr>
          <w:rFonts w:ascii="Calibri" w:eastAsia="Times New Roman" w:hAnsi="Calibri" w:cs="Calibri"/>
          <w:bCs/>
          <w:color w:val="000000"/>
          <w:sz w:val="22"/>
          <w:szCs w:val="22"/>
          <w:lang w:val="hr-HR" w:eastAsia="hr-HR"/>
        </w:rPr>
        <w:t xml:space="preserve">Tablica 2. Potreban broj specijalističko-konzilijarnih i dijagnostičkih timova prema utvrđenom standardu na lokalnoj razini u djelatnostima interne medicine i oftalmologije za popunu Mreže </w:t>
      </w:r>
    </w:p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732"/>
        <w:gridCol w:w="2504"/>
        <w:gridCol w:w="1844"/>
        <w:gridCol w:w="1540"/>
        <w:gridCol w:w="1540"/>
      </w:tblGrid>
      <w:tr w:rsidR="00DE2857" w:rsidRPr="00DE2857" w:rsidTr="00DE2857">
        <w:trPr>
          <w:trHeight w:val="45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ŽUPANIJA/ GRAD ZAGREB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PODRUČJE RADA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664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Interna medicina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664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Oftalmologija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ČAZMA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DARUVAR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GAREŠNICA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GRUBIŠNO POLJE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BRODSKO-POSAVSKA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NOVA GRADIŠKA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BRODSKO-POSAVSKA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SLAVONSKI BROD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DUBROVNIK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PLOČE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LABIN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PAZIN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BUZET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POREČ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UMAG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DUGA RESA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SLUNJ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VOJNIĆ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KOPRIVNIČKO-KRIŽEVAČKA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ĐURĐEVAC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KOPRIVNIČKO-KRIŽEVAČKA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KRIŽEVCI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DONJA STUBICA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PREGRADA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KLANJEC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ZABOK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KORENICA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OTOČAC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SENJ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MEĐIMURSKA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ČAKOVEC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OSJEČKO-BARANJSKA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BELI MANASTIR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OSJEČKO-BARANJSKA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ĐAKOVO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CRIKVENICA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ČABAR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DELNICE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VRBOVSKO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lastRenderedPageBreak/>
              <w:t>36.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SISAČKO-MOSLAVAČKA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PETRINJA (uključuje Dvor, Glinu, </w:t>
            </w:r>
            <w:proofErr w:type="spellStart"/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Topusko</w:t>
            </w:r>
            <w:proofErr w:type="spellEnd"/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i Hrvatsku  Kostajnicu)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SISAČKO-MOSLAVAČKA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KUTINA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SISAČKO-MOSLAVAČKA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NOVSKA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IMOTSKI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KAŠTELA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MAKARSKA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VRGORAC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OMIŠ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SINJ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SOLIN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SUPETAR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TROGIR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IVANEC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LUDBREG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NOVI MAROF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VARAŽDIN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VIROVITIČKO-PODRAVSKA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ORAHOVICA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VIROVITIČKO-PODRAVSKA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SLATINA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VINKOVCI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ŽUPANJA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BENKOVAC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BIOGRAD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GRAČAC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OBROVAC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DUGO SELO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IVANIĆ GRAD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JASTREBARSKO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SAMOBOR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VELIKA GORICA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VRBOVEC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ZAPREŠIĆ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DE2857" w:rsidRPr="00DE2857" w:rsidTr="00DE2857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69.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ZELINA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</w:tr>
      <w:tr w:rsidR="00DE2857" w:rsidRPr="00DE2857" w:rsidTr="00DE2857">
        <w:trPr>
          <w:trHeight w:val="225"/>
        </w:trPr>
        <w:tc>
          <w:tcPr>
            <w:tcW w:w="508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57" w:rsidRPr="00DE2857" w:rsidRDefault="008A11AA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·Ugovara se u Noval</w:t>
            </w:r>
            <w:r w:rsidR="00DE2857" w:rsidRPr="00DE2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ji ili Pagu za cijeli otok Pag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57" w:rsidRPr="00DE2857" w:rsidRDefault="00DE2857" w:rsidP="00DE28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57" w:rsidRPr="00DE2857" w:rsidRDefault="00DE2857" w:rsidP="00DE2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DE2857" w:rsidRDefault="00DE2857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8792A" w:rsidRPr="001C476E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E8792A" w:rsidRPr="001C476E" w:rsidSect="00E8792A">
          <w:pgSz w:w="11900" w:h="16840"/>
          <w:pgMar w:top="397" w:right="567" w:bottom="567" w:left="1134" w:header="0" w:footer="709" w:gutter="0"/>
          <w:cols w:space="708"/>
          <w:docGrid w:linePitch="360"/>
        </w:sectPr>
      </w:pPr>
    </w:p>
    <w:p w:rsidR="00F127CF" w:rsidRPr="001C476E" w:rsidRDefault="00F127CF" w:rsidP="00F127CF">
      <w:pPr>
        <w:tabs>
          <w:tab w:val="left" w:pos="720"/>
        </w:tabs>
        <w:spacing w:line="240" w:lineRule="atLeast"/>
        <w:ind w:right="-575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ab/>
      </w:r>
    </w:p>
    <w:p w:rsidR="00AE3AE5" w:rsidRPr="001C476E" w:rsidRDefault="00F127CF" w:rsidP="00861A13">
      <w:pPr>
        <w:tabs>
          <w:tab w:val="left" w:pos="720"/>
        </w:tabs>
        <w:spacing w:line="240" w:lineRule="atLeast"/>
        <w:ind w:right="-575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ab/>
      </w:r>
    </w:p>
    <w:p w:rsidR="00A97CAB" w:rsidRPr="001C476E" w:rsidRDefault="00CD37F0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1C476E" w:rsidRDefault="0040544C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8908B4">
      <w:pPr>
        <w:pStyle w:val="Odlomakpopisa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na natječaj podnose za djelatnosti iz </w:t>
      </w:r>
      <w:r w:rsidR="00625DA7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glave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 u skladu s općim aktima Zavoda i Mrežom:</w:t>
      </w:r>
    </w:p>
    <w:p w:rsidR="00A97CAB" w:rsidRPr="001C476E" w:rsidRDefault="00D2360A" w:rsidP="008908B4">
      <w:pPr>
        <w:pStyle w:val="Odlomakpopisa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D2360A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koji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na području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D2360A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koji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za sklapanje ugovora te ostalim općim aktima Zavoda</w:t>
      </w:r>
    </w:p>
    <w:p w:rsidR="00A97CAB" w:rsidRPr="001C476E" w:rsidRDefault="00A97CAB" w:rsidP="008908B4">
      <w:pPr>
        <w:pStyle w:val="Odlomakpopisa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A97CAB" w:rsidP="00B4299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u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na području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</w:t>
      </w:r>
      <w:r w:rsidR="00353EA9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koje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</w:t>
      </w:r>
    </w:p>
    <w:p w:rsidR="00A97CAB" w:rsidRPr="001C476E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za sklapanje ugovora te ostalim općim aktima Zavoda.</w:t>
      </w:r>
    </w:p>
    <w:p w:rsidR="000F5309" w:rsidRDefault="000F5309" w:rsidP="000F5309">
      <w:pPr>
        <w:pStyle w:val="Default"/>
      </w:pPr>
    </w:p>
    <w:p w:rsidR="000F5309" w:rsidRPr="001C476E" w:rsidRDefault="000F5309" w:rsidP="000F530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908B4" w:rsidRPr="001C476E" w:rsidRDefault="008908B4" w:rsidP="008908B4">
      <w:pPr>
        <w:pStyle w:val="Odlomakpopisa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1C476E" w:rsidRDefault="008D7CB0" w:rsidP="008908B4">
      <w:pPr>
        <w:pStyle w:val="Odlomakpopisa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1C476E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8D7CB0">
      <w:pPr>
        <w:tabs>
          <w:tab w:val="left" w:pos="720"/>
        </w:tabs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3957E1"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sa Zavodom u punom opsegu radnog vremena. </w:t>
      </w:r>
    </w:p>
    <w:p w:rsidR="000D1ACC" w:rsidRPr="001C476E" w:rsidRDefault="00353EA9" w:rsidP="000D1ACC">
      <w:pPr>
        <w:tabs>
          <w:tab w:val="left" w:pos="720"/>
        </w:tabs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F127CF" w:rsidRPr="001C476E" w:rsidRDefault="00F127CF" w:rsidP="00F127CF">
      <w:pPr>
        <w:tabs>
          <w:tab w:val="left" w:pos="7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III. KRITERIJI ODABIRA PREMA RAZINAMA ZDRAVSTVENE DJELATNOSTI</w:t>
      </w:r>
    </w:p>
    <w:p w:rsidR="00A97CAB" w:rsidRPr="001C476E" w:rsidRDefault="00A97CAB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81847" w:rsidRPr="001C476E" w:rsidRDefault="00A97CAB" w:rsidP="00081847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E05E1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081847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dabir  ponuda  provest  će  se  procjenom  zadovoljavanja  kriterija  prema redoslijedu prioriteta i kako slijedi:</w:t>
      </w:r>
    </w:p>
    <w:p w:rsidR="00DC5EAB" w:rsidRDefault="00DC5EAB" w:rsidP="00081847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</w:p>
    <w:p w:rsidR="00327E7C" w:rsidRPr="00CD0C24" w:rsidRDefault="00327E7C" w:rsidP="00081847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koji osigurava bolju dostupnost ponuđene zdravstvene zaštite osiguranim osobama Zavoda unutar područja za koje se raspisuje Natječaj</w:t>
      </w:r>
    </w:p>
    <w:p w:rsidR="003A301F" w:rsidRPr="001C476E" w:rsidRDefault="003A301F" w:rsidP="003A301F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broj i vrsta ponuđenih postupaka u djelatnosti</w:t>
      </w:r>
    </w:p>
    <w:p w:rsidR="00663AEB" w:rsidRPr="001C476E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663AEB" w:rsidRPr="001C476E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DC5EAB" w:rsidRPr="001C476E" w:rsidRDefault="00DC5EA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DOSTAVA PONUDE</w:t>
      </w:r>
    </w:p>
    <w:p w:rsidR="006F57DB" w:rsidRPr="001C476E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. </w:t>
      </w:r>
    </w:p>
    <w:p w:rsidR="002D40D2" w:rsidRPr="009C0C7E" w:rsidRDefault="002D40D2" w:rsidP="002D40D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CB6D1C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4. ožujka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2019.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CB6D1C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1</w:t>
      </w:r>
      <w:r w:rsidR="006372D0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5</w:t>
      </w:r>
      <w:r w:rsidR="00CB6D1C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. ožujka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CB6D1C"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4. ožujka </w:t>
      </w:r>
      <w:r w:rsidR="00CD0C24"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2019. godine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8. ove glave.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9929F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navedene u ponudbenoj dokumentaciji.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Razmatrat će se samo ponude zaprimljene do dana naznačenog u točki</w:t>
      </w:r>
      <w:bookmarkStart w:id="0" w:name="_GoBack"/>
      <w:bookmarkEnd w:id="0"/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1. ove glave i napisane na ponudbenoj dokumentaciji uz sve propisane priloge iz točke 2. i 3. ove glave.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za područja i djelatnosti za koja nije iskazana potreba u Tablici 1. i Tablici 2. ovog natječaja, ponude koje ne zadovoljavaju opće uvjete natječaja, kao i ponude s netočnim podacima odnosno podacima koji ne odgovaraju stvarnom stanju neće biti razmatrane. 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specijalističko-konzilijarne i dijagnostičke zdravstvene zaštite, uz tražene priloge podnosi se 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  <w:t xml:space="preserve">Direkciji Zavoda, </w:t>
      </w:r>
      <w:proofErr w:type="spellStart"/>
      <w:r w:rsidRPr="009929FC"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  <w:t>Margaretska</w:t>
      </w:r>
      <w:proofErr w:type="spellEnd"/>
      <w:r w:rsidRPr="009929FC"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  <w:t xml:space="preserve"> 3, Zagreb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Ponudu sa svim traženim prilozima potrebno je uvezati u jednu cjelinu.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Upute za popunjavanje i dostavljanje ponudbene dokumentacije sastavni su dio ovog Natječaja, a nalaze se na web stranici Zavoda pod nazivom „</w:t>
      </w:r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- </w:t>
      </w:r>
      <w:r w:rsidR="00CD0C24"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ozujak</w:t>
      </w:r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201</w:t>
      </w:r>
      <w:r w:rsidR="00CD0C24"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9</w:t>
      </w:r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2D40D2" w:rsidRDefault="002D40D2" w:rsidP="002D40D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6F57DB" w:rsidRPr="001C476E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>Ponuda se dostavlja s naznakom:</w:t>
      </w:r>
    </w:p>
    <w:p w:rsidR="006F57DB" w:rsidRPr="001C476E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“    </w:t>
      </w:r>
    </w:p>
    <w:p w:rsidR="006F57DB" w:rsidRPr="001C476E" w:rsidRDefault="006F57DB" w:rsidP="006F57DB">
      <w:pPr>
        <w:tabs>
          <w:tab w:val="left" w:pos="720"/>
        </w:tabs>
        <w:spacing w:line="240" w:lineRule="atLeast"/>
        <w:ind w:left="720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               (navesti djelatnost/i)</w:t>
      </w:r>
    </w:p>
    <w:p w:rsidR="006F57DB" w:rsidRPr="001C476E" w:rsidRDefault="006F57DB" w:rsidP="006F57DB">
      <w:pPr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6F57DB" w:rsidRPr="001C476E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Direkciji Zavoda ili na e-mail adresi: ugovaranje@hzzo.hr. </w:t>
      </w:r>
    </w:p>
    <w:p w:rsidR="006F57DB" w:rsidRPr="001C476E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6F57DB" w:rsidRPr="001C476E" w:rsidRDefault="006F57DB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6F57DB" w:rsidRPr="001C476E" w:rsidRDefault="006F57DB" w:rsidP="006F57DB">
      <w:pPr>
        <w:rPr>
          <w:color w:val="595959"/>
          <w:lang w:val="hr-HR"/>
        </w:rPr>
      </w:pPr>
    </w:p>
    <w:p w:rsidR="006F57DB" w:rsidRPr="001C476E" w:rsidRDefault="006F57DB" w:rsidP="006F57DB">
      <w:pPr>
        <w:rPr>
          <w:color w:val="595959"/>
          <w:lang w:val="hr-HR"/>
        </w:rPr>
      </w:pPr>
    </w:p>
    <w:p w:rsidR="006F57DB" w:rsidRPr="001C476E" w:rsidRDefault="006F57D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sectPr w:rsidR="00A97CAB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09" w:rsidRDefault="000F5309" w:rsidP="005D53F2">
      <w:r>
        <w:separator/>
      </w:r>
    </w:p>
  </w:endnote>
  <w:endnote w:type="continuationSeparator" w:id="0">
    <w:p w:rsidR="000F5309" w:rsidRDefault="000F5309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09" w:rsidRDefault="000F5309" w:rsidP="005D53F2">
      <w:r>
        <w:separator/>
      </w:r>
    </w:p>
  </w:footnote>
  <w:footnote w:type="continuationSeparator" w:id="0">
    <w:p w:rsidR="000F5309" w:rsidRDefault="000F5309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67988"/>
    <w:multiLevelType w:val="hybridMultilevel"/>
    <w:tmpl w:val="0C50DE3C"/>
    <w:lvl w:ilvl="0" w:tplc="439072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2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8"/>
  </w:num>
  <w:num w:numId="14">
    <w:abstractNumId w:val="23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9"/>
  </w:num>
  <w:num w:numId="20">
    <w:abstractNumId w:val="6"/>
  </w:num>
  <w:num w:numId="21">
    <w:abstractNumId w:val="11"/>
  </w:num>
  <w:num w:numId="22">
    <w:abstractNumId w:val="4"/>
  </w:num>
  <w:num w:numId="23">
    <w:abstractNumId w:val="26"/>
  </w:num>
  <w:num w:numId="24">
    <w:abstractNumId w:val="2"/>
  </w:num>
  <w:num w:numId="25">
    <w:abstractNumId w:val="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4EF1"/>
    <w:rsid w:val="00015A06"/>
    <w:rsid w:val="0002545C"/>
    <w:rsid w:val="000258F9"/>
    <w:rsid w:val="00026C63"/>
    <w:rsid w:val="00052232"/>
    <w:rsid w:val="0005647F"/>
    <w:rsid w:val="00063681"/>
    <w:rsid w:val="00065E74"/>
    <w:rsid w:val="000665C8"/>
    <w:rsid w:val="000676D1"/>
    <w:rsid w:val="00067FD5"/>
    <w:rsid w:val="00081847"/>
    <w:rsid w:val="000938E4"/>
    <w:rsid w:val="00094F30"/>
    <w:rsid w:val="000C33B3"/>
    <w:rsid w:val="000D1ACC"/>
    <w:rsid w:val="000D34E4"/>
    <w:rsid w:val="000E3DD9"/>
    <w:rsid w:val="000E68AF"/>
    <w:rsid w:val="000F4141"/>
    <w:rsid w:val="000F5309"/>
    <w:rsid w:val="000F5FAD"/>
    <w:rsid w:val="000F752B"/>
    <w:rsid w:val="0010182E"/>
    <w:rsid w:val="00101F3D"/>
    <w:rsid w:val="0010279B"/>
    <w:rsid w:val="001064F3"/>
    <w:rsid w:val="00116DC8"/>
    <w:rsid w:val="00123F8C"/>
    <w:rsid w:val="0012427E"/>
    <w:rsid w:val="00125E85"/>
    <w:rsid w:val="00150267"/>
    <w:rsid w:val="0015124F"/>
    <w:rsid w:val="00161FE3"/>
    <w:rsid w:val="0016409A"/>
    <w:rsid w:val="001658DC"/>
    <w:rsid w:val="001B5E55"/>
    <w:rsid w:val="001C4574"/>
    <w:rsid w:val="001C476E"/>
    <w:rsid w:val="00207455"/>
    <w:rsid w:val="00210723"/>
    <w:rsid w:val="002253A6"/>
    <w:rsid w:val="00230347"/>
    <w:rsid w:val="00241135"/>
    <w:rsid w:val="00243D7D"/>
    <w:rsid w:val="002478AD"/>
    <w:rsid w:val="002642EA"/>
    <w:rsid w:val="002724EB"/>
    <w:rsid w:val="00280DC3"/>
    <w:rsid w:val="00287A53"/>
    <w:rsid w:val="00297713"/>
    <w:rsid w:val="002B48EF"/>
    <w:rsid w:val="002C6FC6"/>
    <w:rsid w:val="002D0D6E"/>
    <w:rsid w:val="002D40D2"/>
    <w:rsid w:val="002D684E"/>
    <w:rsid w:val="002E475A"/>
    <w:rsid w:val="002F04EF"/>
    <w:rsid w:val="002F52D7"/>
    <w:rsid w:val="00327E7C"/>
    <w:rsid w:val="00340A2C"/>
    <w:rsid w:val="00341AD0"/>
    <w:rsid w:val="00343848"/>
    <w:rsid w:val="00353EA9"/>
    <w:rsid w:val="00357263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94AD8"/>
    <w:rsid w:val="004B721F"/>
    <w:rsid w:val="004C397C"/>
    <w:rsid w:val="004C5877"/>
    <w:rsid w:val="004D3F7F"/>
    <w:rsid w:val="004D6542"/>
    <w:rsid w:val="004E132E"/>
    <w:rsid w:val="00516F74"/>
    <w:rsid w:val="00517524"/>
    <w:rsid w:val="005206E7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75C9"/>
    <w:rsid w:val="005C6BC2"/>
    <w:rsid w:val="005D022F"/>
    <w:rsid w:val="005D53F2"/>
    <w:rsid w:val="005D64E3"/>
    <w:rsid w:val="005E0E64"/>
    <w:rsid w:val="00605816"/>
    <w:rsid w:val="00620D59"/>
    <w:rsid w:val="00625DA7"/>
    <w:rsid w:val="006372D0"/>
    <w:rsid w:val="00653590"/>
    <w:rsid w:val="00653723"/>
    <w:rsid w:val="00656CD1"/>
    <w:rsid w:val="00663AEB"/>
    <w:rsid w:val="00664098"/>
    <w:rsid w:val="00690245"/>
    <w:rsid w:val="00690A94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B83"/>
    <w:rsid w:val="007B703A"/>
    <w:rsid w:val="007D1DDB"/>
    <w:rsid w:val="007D2F08"/>
    <w:rsid w:val="007D6E30"/>
    <w:rsid w:val="007E6056"/>
    <w:rsid w:val="007F4509"/>
    <w:rsid w:val="008065D4"/>
    <w:rsid w:val="0081487D"/>
    <w:rsid w:val="00815387"/>
    <w:rsid w:val="00815BE5"/>
    <w:rsid w:val="00817BA2"/>
    <w:rsid w:val="00827564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D71BD"/>
    <w:rsid w:val="008D7CB0"/>
    <w:rsid w:val="008F0BFE"/>
    <w:rsid w:val="008F348B"/>
    <w:rsid w:val="009040D9"/>
    <w:rsid w:val="009230D4"/>
    <w:rsid w:val="009364F8"/>
    <w:rsid w:val="009460D1"/>
    <w:rsid w:val="00954BC6"/>
    <w:rsid w:val="009753C0"/>
    <w:rsid w:val="00991855"/>
    <w:rsid w:val="009929FC"/>
    <w:rsid w:val="009C0C7E"/>
    <w:rsid w:val="009E38E5"/>
    <w:rsid w:val="009F4605"/>
    <w:rsid w:val="009F78A5"/>
    <w:rsid w:val="00A03AE6"/>
    <w:rsid w:val="00A102C6"/>
    <w:rsid w:val="00A31DA7"/>
    <w:rsid w:val="00A34805"/>
    <w:rsid w:val="00A402B2"/>
    <w:rsid w:val="00A460EE"/>
    <w:rsid w:val="00A66561"/>
    <w:rsid w:val="00A721BD"/>
    <w:rsid w:val="00A86837"/>
    <w:rsid w:val="00A955CC"/>
    <w:rsid w:val="00A97CAB"/>
    <w:rsid w:val="00AA4C8E"/>
    <w:rsid w:val="00AC7783"/>
    <w:rsid w:val="00AD2693"/>
    <w:rsid w:val="00AE3AE5"/>
    <w:rsid w:val="00AF3BDD"/>
    <w:rsid w:val="00B00FC7"/>
    <w:rsid w:val="00B10644"/>
    <w:rsid w:val="00B14A28"/>
    <w:rsid w:val="00B36EE8"/>
    <w:rsid w:val="00B4299C"/>
    <w:rsid w:val="00B73C93"/>
    <w:rsid w:val="00B9285E"/>
    <w:rsid w:val="00BA5FCF"/>
    <w:rsid w:val="00BA64B6"/>
    <w:rsid w:val="00BC52EF"/>
    <w:rsid w:val="00BE6417"/>
    <w:rsid w:val="00BE709A"/>
    <w:rsid w:val="00BF35FD"/>
    <w:rsid w:val="00BF451F"/>
    <w:rsid w:val="00C251E1"/>
    <w:rsid w:val="00C26A62"/>
    <w:rsid w:val="00C278A3"/>
    <w:rsid w:val="00C6143D"/>
    <w:rsid w:val="00C71A7B"/>
    <w:rsid w:val="00C74156"/>
    <w:rsid w:val="00C7601B"/>
    <w:rsid w:val="00C77554"/>
    <w:rsid w:val="00C80C18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E5F08"/>
    <w:rsid w:val="00D00FCE"/>
    <w:rsid w:val="00D01073"/>
    <w:rsid w:val="00D2360A"/>
    <w:rsid w:val="00D37355"/>
    <w:rsid w:val="00D437D0"/>
    <w:rsid w:val="00D4740E"/>
    <w:rsid w:val="00D47699"/>
    <w:rsid w:val="00D52D5E"/>
    <w:rsid w:val="00D54528"/>
    <w:rsid w:val="00D577B8"/>
    <w:rsid w:val="00D67EB5"/>
    <w:rsid w:val="00D7048E"/>
    <w:rsid w:val="00DC5EAB"/>
    <w:rsid w:val="00DE2857"/>
    <w:rsid w:val="00DE7F3B"/>
    <w:rsid w:val="00DF1B16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127CF"/>
    <w:rsid w:val="00F150CB"/>
    <w:rsid w:val="00F20931"/>
    <w:rsid w:val="00F21501"/>
    <w:rsid w:val="00F27226"/>
    <w:rsid w:val="00F27B4F"/>
    <w:rsid w:val="00F33ECE"/>
    <w:rsid w:val="00F43102"/>
    <w:rsid w:val="00F450D2"/>
    <w:rsid w:val="00F7427C"/>
    <w:rsid w:val="00F7449C"/>
    <w:rsid w:val="00F82979"/>
    <w:rsid w:val="00F86977"/>
    <w:rsid w:val="00FA081D"/>
    <w:rsid w:val="00FA19DF"/>
    <w:rsid w:val="00FA3476"/>
    <w:rsid w:val="00FB433C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4D625D1"/>
  <w15:docId w15:val="{D0D93ECF-47EF-47E5-BC4D-0A4B75C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ABB17-6148-4352-B2BF-274E8419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Šušković Hrvoje</cp:lastModifiedBy>
  <cp:revision>21</cp:revision>
  <cp:lastPrinted>2018-06-20T07:29:00Z</cp:lastPrinted>
  <dcterms:created xsi:type="dcterms:W3CDTF">2019-02-27T14:17:00Z</dcterms:created>
  <dcterms:modified xsi:type="dcterms:W3CDTF">2019-03-04T13:33:00Z</dcterms:modified>
</cp:coreProperties>
</file>