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</w:t>
      </w:r>
      <w:r w:rsidR="00A114D9">
        <w:rPr>
          <w:rFonts w:cs="Arial"/>
          <w:color w:val="595959" w:themeColor="text1" w:themeTint="A6"/>
          <w:sz w:val="20"/>
          <w:szCs w:val="22"/>
        </w:rPr>
        <w:t xml:space="preserve"> medicine rada, KLASA: 025-04/23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A114D9">
        <w:rPr>
          <w:rFonts w:cs="Arial"/>
          <w:color w:val="595959" w:themeColor="text1" w:themeTint="A6"/>
          <w:sz w:val="20"/>
          <w:szCs w:val="22"/>
        </w:rPr>
        <w:t>271, URBROJ: 338-01-01-23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B38D3">
        <w:rPr>
          <w:rFonts w:cs="Arial"/>
          <w:color w:val="595959" w:themeColor="text1" w:themeTint="A6"/>
          <w:sz w:val="20"/>
          <w:szCs w:val="22"/>
        </w:rPr>
        <w:t>29.11.2023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593A8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222371">
        <w:rPr>
          <w:rFonts w:cs="Arial"/>
          <w:color w:val="595959" w:themeColor="text1" w:themeTint="A6"/>
          <w:sz w:val="20"/>
          <w:szCs w:val="22"/>
        </w:rPr>
        <w:t>98/19.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 i 33/23</w:t>
      </w:r>
      <w:r w:rsidR="00FB38D3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3777D5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15555">
        <w:rPr>
          <w:rFonts w:cs="Arial"/>
          <w:color w:val="595959" w:themeColor="text1" w:themeTint="A6"/>
          <w:sz w:val="20"/>
          <w:szCs w:val="22"/>
        </w:rPr>
        <w:t>145/21.</w:t>
      </w:r>
      <w:r w:rsidR="00593A89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3777D5">
        <w:rPr>
          <w:rFonts w:cs="Arial"/>
          <w:color w:val="595959" w:themeColor="text1" w:themeTint="A6"/>
          <w:sz w:val="20"/>
          <w:szCs w:val="22"/>
        </w:rPr>
        <w:t>156/22.</w:t>
      </w:r>
      <w:r w:rsidR="009C1D6C">
        <w:rPr>
          <w:rFonts w:cs="Arial"/>
          <w:color w:val="595959" w:themeColor="text1" w:themeTint="A6"/>
          <w:sz w:val="20"/>
          <w:szCs w:val="22"/>
        </w:rPr>
        <w:t>,</w:t>
      </w:r>
      <w:r w:rsidR="00593A89">
        <w:rPr>
          <w:rFonts w:cs="Arial"/>
          <w:color w:val="595959" w:themeColor="text1" w:themeTint="A6"/>
          <w:sz w:val="20"/>
          <w:szCs w:val="22"/>
        </w:rPr>
        <w:t>37/23</w:t>
      </w:r>
      <w:r w:rsidR="009C1D6C">
        <w:rPr>
          <w:rFonts w:cs="Arial"/>
          <w:color w:val="595959" w:themeColor="text1" w:themeTint="A6"/>
          <w:sz w:val="20"/>
          <w:szCs w:val="22"/>
        </w:rPr>
        <w:t>., 58/23</w:t>
      </w:r>
      <w:r w:rsidR="00FB38D3">
        <w:rPr>
          <w:rFonts w:cs="Arial"/>
          <w:color w:val="595959" w:themeColor="text1" w:themeTint="A6"/>
          <w:sz w:val="20"/>
          <w:szCs w:val="22"/>
        </w:rPr>
        <w:t>.,150/23. i 25/24.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</w:t>
      </w:r>
      <w:r w:rsidR="00593A89">
        <w:rPr>
          <w:rFonts w:cs="Arial"/>
          <w:b/>
          <w:color w:val="595959" w:themeColor="text1" w:themeTint="A6"/>
          <w:sz w:val="20"/>
          <w:szCs w:val="22"/>
        </w:rPr>
        <w:t>a medicine rada po županijama/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C774F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6</w:t>
            </w:r>
            <w:r w:rsidR="003777D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3777D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3777D5" w:rsidRDefault="003777D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MEĐIMURSKA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777D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C774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C774F3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3777D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SPLITKO-DALMATINSKA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C1D6C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593A89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593A89" w:rsidRPr="009F06F5" w:rsidRDefault="00593A89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93A89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C774F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  <w:bookmarkStart w:id="0" w:name="_GoBack"/>
            <w:bookmarkEnd w:id="0"/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593A89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593A89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</w:t>
      </w:r>
      <w:r w:rsidR="00AA1325">
        <w:rPr>
          <w:rFonts w:cs="Arial"/>
          <w:color w:val="595959" w:themeColor="text1" w:themeTint="A6"/>
          <w:sz w:val="20"/>
          <w:szCs w:val="22"/>
        </w:rPr>
        <w:t xml:space="preserve"> koji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posjeduju rješenje Ministarstva zdravstva o odobrenju za rad u djelatnosti medicine rada</w:t>
      </w:r>
    </w:p>
    <w:p w:rsidR="00AD7BB0" w:rsidRDefault="00427BB9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AD7BB0" w:rsidRDefault="00AA1325" w:rsidP="00AD7BB0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dostave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uvjerenje da se protiv </w:t>
      </w:r>
      <w:r w:rsidR="00786920">
        <w:rPr>
          <w:rFonts w:cs="Arial"/>
          <w:color w:val="595959" w:themeColor="text1" w:themeTint="A6"/>
          <w:sz w:val="20"/>
          <w:szCs w:val="22"/>
        </w:rPr>
        <w:t>nositelja tima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ne vodi kazneni postupak (ne starije od 6 mjeseci)*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  <w:r w:rsidR="00E60AED">
        <w:rPr>
          <w:rFonts w:cs="Arial"/>
          <w:color w:val="595959" w:themeColor="text1" w:themeTint="A6"/>
          <w:sz w:val="20"/>
          <w:szCs w:val="22"/>
        </w:rPr>
        <w:t xml:space="preserve"> (ne starije od 6 mjeseci)</w:t>
      </w:r>
    </w:p>
    <w:p w:rsidR="00427BB9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</w:t>
      </w:r>
      <w:r w:rsidR="00AD7BB0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AD7BB0" w:rsidRPr="007E4B04" w:rsidRDefault="00AD7BB0" w:rsidP="00AD7BB0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dostave uvjerenje da se protiv odgovorne osobe i nositelja tima ne vodi kazneni postupak (ne starije od 6 mjeseci)*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Default="00427BB9" w:rsidP="00A7595A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A7595A" w:rsidRPr="00A7595A" w:rsidRDefault="00A7595A" w:rsidP="00A7595A">
      <w:pPr>
        <w:ind w:left="284"/>
        <w:jc w:val="lef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FD4974">
        <w:rPr>
          <w:rFonts w:cs="Arial"/>
          <w:b/>
          <w:color w:val="595959" w:themeColor="text1" w:themeTint="A6"/>
          <w:sz w:val="20"/>
          <w:szCs w:val="22"/>
        </w:rPr>
        <w:t>03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.04.2024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FD4974">
        <w:rPr>
          <w:rFonts w:cs="Arial"/>
          <w:b/>
          <w:color w:val="595959" w:themeColor="text1" w:themeTint="A6"/>
          <w:sz w:val="20"/>
          <w:szCs w:val="22"/>
        </w:rPr>
        <w:t>10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.04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24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FD4974">
        <w:rPr>
          <w:rFonts w:cs="Arial"/>
          <w:b/>
          <w:color w:val="595959" w:themeColor="text1" w:themeTint="A6"/>
          <w:sz w:val="20"/>
          <w:szCs w:val="22"/>
        </w:rPr>
        <w:t>03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.04.2024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FD4974">
        <w:rPr>
          <w:rFonts w:cs="Arial"/>
          <w:b/>
          <w:color w:val="595959" w:themeColor="text1" w:themeTint="A6"/>
          <w:sz w:val="20"/>
          <w:szCs w:val="22"/>
        </w:rPr>
        <w:t>10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.04. 2024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  <w:r w:rsidR="00B01EF9">
        <w:rPr>
          <w:rFonts w:cs="Arial"/>
          <w:b/>
          <w:color w:val="595959" w:themeColor="text1" w:themeTint="A6"/>
          <w:sz w:val="20"/>
          <w:szCs w:val="22"/>
        </w:rPr>
        <w:t>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AD7BB0" w:rsidRDefault="00427BB9" w:rsidP="00AD7BB0">
      <w:pPr>
        <w:pStyle w:val="Odlomakpopisa"/>
        <w:numPr>
          <w:ilvl w:val="0"/>
          <w:numId w:val="8"/>
        </w:numPr>
        <w:rPr>
          <w:rFonts w:cs="Arial"/>
          <w:color w:val="595959" w:themeColor="text1" w:themeTint="A6"/>
          <w:sz w:val="20"/>
          <w:szCs w:val="22"/>
        </w:rPr>
      </w:pPr>
      <w:r w:rsidRPr="00AD7BB0">
        <w:rPr>
          <w:rFonts w:cs="Arial"/>
          <w:color w:val="595959" w:themeColor="text1" w:themeTint="A6"/>
          <w:sz w:val="20"/>
          <w:szCs w:val="22"/>
        </w:rPr>
        <w:t>Ponude za područja za koja nije iskazana potreba u Tablici 1. ovog natječaja, ponude koje ne zadovoljavaju opće uvjete natječaja, kao i ponude s netočnim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i </w:t>
      </w:r>
      <w:r w:rsidR="00180AD9" w:rsidRPr="00AD7BB0">
        <w:rPr>
          <w:rFonts w:cs="Arial"/>
          <w:color w:val="595959" w:themeColor="text1" w:themeTint="A6"/>
          <w:sz w:val="20"/>
          <w:szCs w:val="22"/>
        </w:rPr>
        <w:t>nepotpunim</w:t>
      </w:r>
      <w:r w:rsidRPr="00AD7BB0">
        <w:rPr>
          <w:rFonts w:cs="Arial"/>
          <w:color w:val="595959" w:themeColor="text1" w:themeTint="A6"/>
          <w:sz w:val="20"/>
          <w:szCs w:val="22"/>
        </w:rPr>
        <w:t xml:space="preserve"> podacima odnosno podacima koji ne odgovaraju stvarnom stanju neće biti razmatrane. 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Također neće biti razmatrane niti ponude privatnih zdravstvenih radnika i zdravstvenih ustanova koje su prethodno bile ugovorni partneri Zavoda, a s kojima je Zavod unatrag tri godine od dana objave ovog Natječaja raskinuo ugovor o provođenju primarne zdravstvene zaštite iz obveznog zdravstvenog osiguranja radi povrede ugovornih obveza </w:t>
      </w:r>
      <w:r w:rsidR="00A7595A">
        <w:rPr>
          <w:rFonts w:cs="Arial"/>
          <w:color w:val="595959" w:themeColor="text1" w:themeTint="A6"/>
          <w:sz w:val="20"/>
          <w:szCs w:val="22"/>
        </w:rPr>
        <w:t>kao i</w:t>
      </w:r>
      <w:r w:rsidR="00AD7BB0" w:rsidRPr="00AD7BB0">
        <w:rPr>
          <w:rFonts w:cs="Arial"/>
          <w:color w:val="595959" w:themeColor="text1" w:themeTint="A6"/>
          <w:sz w:val="20"/>
          <w:szCs w:val="22"/>
        </w:rPr>
        <w:t xml:space="preserve"> ponude privatnih zdravstvenih radnika i odgovornih osoba te nositelja tima/timova u zdravstvenim ustanovama protiv kojih je Zavod podnio kaznenu prijavu, a do donošenja odluke nadležnog tijela o istoj.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AD7BB0" w:rsidRPr="00A7595A" w:rsidRDefault="00427BB9" w:rsidP="00A7595A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</w:t>
      </w:r>
      <w:r w:rsidR="00A7595A">
        <w:rPr>
          <w:rFonts w:cs="Arial"/>
          <w:color w:val="595959" w:themeColor="text1" w:themeTint="A6"/>
          <w:sz w:val="20"/>
          <w:szCs w:val="22"/>
        </w:rPr>
        <w:t>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lastRenderedPageBreak/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180AD9" w:rsidRDefault="00180AD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</w:p>
    <w:p w:rsidR="00180AD9" w:rsidRDefault="00180AD9" w:rsidP="00950196">
      <w:pPr>
        <w:tabs>
          <w:tab w:val="left" w:pos="720"/>
        </w:tabs>
        <w:spacing w:line="240" w:lineRule="atLeast"/>
      </w:pPr>
    </w:p>
    <w:p w:rsidR="006915AD" w:rsidRDefault="00427BB9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="00AD7BB0" w:rsidRPr="00D13EB5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Default="00AD7BB0" w:rsidP="00950196">
      <w:pPr>
        <w:tabs>
          <w:tab w:val="left" w:pos="720"/>
        </w:tabs>
        <w:spacing w:line="240" w:lineRule="atLeast"/>
        <w:rPr>
          <w:rFonts w:cs="Arial"/>
          <w:sz w:val="20"/>
          <w:szCs w:val="22"/>
        </w:rPr>
      </w:pPr>
    </w:p>
    <w:p w:rsidR="00AD7BB0" w:rsidRPr="00AD7BB0" w:rsidRDefault="00AD7BB0" w:rsidP="00950196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0"/>
        </w:rPr>
      </w:pPr>
      <w:r w:rsidRPr="00AD7BB0">
        <w:rPr>
          <w:rFonts w:cs="Arial"/>
          <w:color w:val="595959" w:themeColor="text1" w:themeTint="A6"/>
          <w:sz w:val="20"/>
          <w:szCs w:val="20"/>
        </w:rPr>
        <w:t>*izdaje  općinski sud ili preko portale e-Građani  (sva uvjerenja preko sustava e-Građani izdaje Općinski kazneni sud u Zagrebu i vrijede u cijeloj Republici Hrvatskoj).</w:t>
      </w:r>
    </w:p>
    <w:sectPr w:rsidR="00AD7BB0" w:rsidRPr="00AD7BB0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34" w:rsidRDefault="00130534" w:rsidP="00E40BD2">
      <w:r>
        <w:separator/>
      </w:r>
    </w:p>
  </w:endnote>
  <w:endnote w:type="continuationSeparator" w:id="0">
    <w:p w:rsidR="00130534" w:rsidRDefault="0013053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34" w:rsidRDefault="00130534" w:rsidP="00E40BD2">
      <w:r>
        <w:separator/>
      </w:r>
    </w:p>
  </w:footnote>
  <w:footnote w:type="continuationSeparator" w:id="0">
    <w:p w:rsidR="00130534" w:rsidRDefault="0013053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0E74A3"/>
    <w:rsid w:val="00130534"/>
    <w:rsid w:val="0014242E"/>
    <w:rsid w:val="00152708"/>
    <w:rsid w:val="001620F5"/>
    <w:rsid w:val="00172E93"/>
    <w:rsid w:val="00180AD9"/>
    <w:rsid w:val="00186BCF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94F66"/>
    <w:rsid w:val="002A55A3"/>
    <w:rsid w:val="002B4425"/>
    <w:rsid w:val="002C3837"/>
    <w:rsid w:val="002C78AE"/>
    <w:rsid w:val="002D6848"/>
    <w:rsid w:val="002D692E"/>
    <w:rsid w:val="002E5482"/>
    <w:rsid w:val="00332482"/>
    <w:rsid w:val="00341E09"/>
    <w:rsid w:val="00363424"/>
    <w:rsid w:val="00375921"/>
    <w:rsid w:val="00376B4E"/>
    <w:rsid w:val="003777D5"/>
    <w:rsid w:val="0038068F"/>
    <w:rsid w:val="00395351"/>
    <w:rsid w:val="003C497A"/>
    <w:rsid w:val="003E0920"/>
    <w:rsid w:val="003E74A4"/>
    <w:rsid w:val="004060A1"/>
    <w:rsid w:val="00427BB9"/>
    <w:rsid w:val="00436AF9"/>
    <w:rsid w:val="0045075C"/>
    <w:rsid w:val="004A4407"/>
    <w:rsid w:val="004C5696"/>
    <w:rsid w:val="004C5AAB"/>
    <w:rsid w:val="004D0848"/>
    <w:rsid w:val="004D4541"/>
    <w:rsid w:val="00513FBC"/>
    <w:rsid w:val="00527195"/>
    <w:rsid w:val="00557661"/>
    <w:rsid w:val="00593171"/>
    <w:rsid w:val="00593A89"/>
    <w:rsid w:val="005D54F1"/>
    <w:rsid w:val="00603CB1"/>
    <w:rsid w:val="0061478E"/>
    <w:rsid w:val="00616004"/>
    <w:rsid w:val="00631474"/>
    <w:rsid w:val="00635CCB"/>
    <w:rsid w:val="00651F86"/>
    <w:rsid w:val="0065686F"/>
    <w:rsid w:val="00673119"/>
    <w:rsid w:val="00675ED2"/>
    <w:rsid w:val="00686211"/>
    <w:rsid w:val="006915AD"/>
    <w:rsid w:val="00697722"/>
    <w:rsid w:val="006A750F"/>
    <w:rsid w:val="006B005B"/>
    <w:rsid w:val="006C2197"/>
    <w:rsid w:val="006C3F41"/>
    <w:rsid w:val="006C7D8C"/>
    <w:rsid w:val="006E002E"/>
    <w:rsid w:val="006F2B01"/>
    <w:rsid w:val="007043B1"/>
    <w:rsid w:val="00716F8E"/>
    <w:rsid w:val="007312C0"/>
    <w:rsid w:val="007317F2"/>
    <w:rsid w:val="00751A8D"/>
    <w:rsid w:val="00754AA6"/>
    <w:rsid w:val="00786920"/>
    <w:rsid w:val="007A0C85"/>
    <w:rsid w:val="007A4BA2"/>
    <w:rsid w:val="007B26A6"/>
    <w:rsid w:val="007D1A24"/>
    <w:rsid w:val="007D3B93"/>
    <w:rsid w:val="007E4B04"/>
    <w:rsid w:val="00805E2A"/>
    <w:rsid w:val="00822595"/>
    <w:rsid w:val="00843558"/>
    <w:rsid w:val="00844C96"/>
    <w:rsid w:val="00860D06"/>
    <w:rsid w:val="00863F93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82609"/>
    <w:rsid w:val="009B4C49"/>
    <w:rsid w:val="009C1D6C"/>
    <w:rsid w:val="009D724E"/>
    <w:rsid w:val="009F06F5"/>
    <w:rsid w:val="00A00822"/>
    <w:rsid w:val="00A010AA"/>
    <w:rsid w:val="00A114D9"/>
    <w:rsid w:val="00A13CE9"/>
    <w:rsid w:val="00A232D6"/>
    <w:rsid w:val="00A468F6"/>
    <w:rsid w:val="00A7418F"/>
    <w:rsid w:val="00A7595A"/>
    <w:rsid w:val="00A90BF7"/>
    <w:rsid w:val="00A95683"/>
    <w:rsid w:val="00AA1325"/>
    <w:rsid w:val="00AA2805"/>
    <w:rsid w:val="00AD164C"/>
    <w:rsid w:val="00AD61C3"/>
    <w:rsid w:val="00AD7BB0"/>
    <w:rsid w:val="00B01EF9"/>
    <w:rsid w:val="00B15555"/>
    <w:rsid w:val="00B26575"/>
    <w:rsid w:val="00B269E6"/>
    <w:rsid w:val="00B540CE"/>
    <w:rsid w:val="00B637AC"/>
    <w:rsid w:val="00B75762"/>
    <w:rsid w:val="00BB08B8"/>
    <w:rsid w:val="00BC074B"/>
    <w:rsid w:val="00BC2415"/>
    <w:rsid w:val="00BC700E"/>
    <w:rsid w:val="00BD76E4"/>
    <w:rsid w:val="00BE0074"/>
    <w:rsid w:val="00BE676B"/>
    <w:rsid w:val="00BF0D92"/>
    <w:rsid w:val="00C20EC1"/>
    <w:rsid w:val="00C26784"/>
    <w:rsid w:val="00C345A6"/>
    <w:rsid w:val="00C446E8"/>
    <w:rsid w:val="00C56F19"/>
    <w:rsid w:val="00C642DA"/>
    <w:rsid w:val="00C76047"/>
    <w:rsid w:val="00C774F3"/>
    <w:rsid w:val="00C85C90"/>
    <w:rsid w:val="00C87B7A"/>
    <w:rsid w:val="00CA017F"/>
    <w:rsid w:val="00CC22B7"/>
    <w:rsid w:val="00D21AE8"/>
    <w:rsid w:val="00D22BD1"/>
    <w:rsid w:val="00D27E93"/>
    <w:rsid w:val="00D81A27"/>
    <w:rsid w:val="00D857A1"/>
    <w:rsid w:val="00D93628"/>
    <w:rsid w:val="00D970FE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0AED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66A3"/>
    <w:rsid w:val="00F87C09"/>
    <w:rsid w:val="00FB38D3"/>
    <w:rsid w:val="00FC0FC1"/>
    <w:rsid w:val="00FD3A40"/>
    <w:rsid w:val="00FD4974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6CA2D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6FE6-523C-4338-9AB3-B0BED815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6</cp:revision>
  <dcterms:created xsi:type="dcterms:W3CDTF">2023-11-09T09:55:00Z</dcterms:created>
  <dcterms:modified xsi:type="dcterms:W3CDTF">2024-04-03T06:26:00Z</dcterms:modified>
</cp:coreProperties>
</file>